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4F0" w:rsidRDefault="00DF71E2" w:rsidP="00DF71E2">
      <w:pPr>
        <w:jc w:val="center"/>
        <w:rPr>
          <w:sz w:val="32"/>
          <w:szCs w:val="32"/>
        </w:rPr>
      </w:pPr>
      <w:r w:rsidRPr="00DF71E2">
        <w:rPr>
          <w:sz w:val="32"/>
          <w:szCs w:val="32"/>
        </w:rPr>
        <w:t>A Case for Using Specific Technology-Facilitated Skills in the “Knowledge Age”—Training for Current Business Needs</w:t>
      </w:r>
    </w:p>
    <w:p w:rsidR="00DF71E2" w:rsidRPr="00BC2735" w:rsidRDefault="00DF71E2" w:rsidP="00DF71E2">
      <w:pPr>
        <w:spacing w:after="0" w:line="240" w:lineRule="auto"/>
        <w:jc w:val="center"/>
        <w:rPr>
          <w:sz w:val="24"/>
          <w:szCs w:val="24"/>
        </w:rPr>
      </w:pPr>
      <w:r w:rsidRPr="00BC2735">
        <w:rPr>
          <w:sz w:val="24"/>
          <w:szCs w:val="24"/>
        </w:rPr>
        <w:t>Gerry Begeman, M.Sc.</w:t>
      </w:r>
    </w:p>
    <w:p w:rsidR="00DF71E2" w:rsidRPr="00BC2735" w:rsidRDefault="00DF71E2" w:rsidP="00DF71E2">
      <w:pPr>
        <w:spacing w:after="0" w:line="240" w:lineRule="auto"/>
        <w:jc w:val="center"/>
        <w:rPr>
          <w:sz w:val="24"/>
          <w:szCs w:val="24"/>
        </w:rPr>
      </w:pPr>
      <w:r w:rsidRPr="00BC2735">
        <w:rPr>
          <w:sz w:val="24"/>
          <w:szCs w:val="24"/>
        </w:rPr>
        <w:t>Senior Lecturer and Internship Coordinator, Bermuda College</w:t>
      </w:r>
    </w:p>
    <w:p w:rsidR="00DF71E2" w:rsidRPr="00BC2735" w:rsidRDefault="00DF71E2" w:rsidP="00DF71E2">
      <w:pPr>
        <w:spacing w:after="0" w:line="240" w:lineRule="auto"/>
        <w:jc w:val="center"/>
        <w:rPr>
          <w:sz w:val="24"/>
          <w:szCs w:val="24"/>
        </w:rPr>
      </w:pPr>
      <w:r w:rsidRPr="00BC2735">
        <w:rPr>
          <w:sz w:val="24"/>
          <w:szCs w:val="24"/>
        </w:rPr>
        <w:t>Bermuda</w:t>
      </w:r>
    </w:p>
    <w:p w:rsidR="00DF71E2" w:rsidRDefault="00DF71E2" w:rsidP="00DF71E2">
      <w:pPr>
        <w:jc w:val="center"/>
        <w:rPr>
          <w:sz w:val="32"/>
          <w:szCs w:val="32"/>
        </w:rPr>
      </w:pPr>
    </w:p>
    <w:p w:rsidR="00DF71E2" w:rsidRPr="00BC2735" w:rsidRDefault="00006B98" w:rsidP="00DA4605">
      <w:pPr>
        <w:ind w:firstLine="720"/>
        <w:rPr>
          <w:sz w:val="24"/>
          <w:szCs w:val="24"/>
        </w:rPr>
      </w:pPr>
      <w:r w:rsidRPr="00BC2735">
        <w:rPr>
          <w:sz w:val="24"/>
          <w:szCs w:val="24"/>
        </w:rPr>
        <w:t>Although academic</w:t>
      </w:r>
      <w:r w:rsidR="00BC2735">
        <w:rPr>
          <w:sz w:val="24"/>
          <w:szCs w:val="24"/>
        </w:rPr>
        <w:t>ian</w:t>
      </w:r>
      <w:r w:rsidRPr="00BC2735">
        <w:rPr>
          <w:sz w:val="24"/>
          <w:szCs w:val="24"/>
        </w:rPr>
        <w:t>s, individuals, and societies in general have been made aware of “future shock”</w:t>
      </w:r>
      <w:r w:rsidR="007C72FA" w:rsidRPr="00BC2735">
        <w:rPr>
          <w:sz w:val="24"/>
          <w:szCs w:val="24"/>
        </w:rPr>
        <w:t xml:space="preserve"> </w:t>
      </w:r>
      <w:r w:rsidR="008D3214" w:rsidRPr="00BC2735">
        <w:rPr>
          <w:sz w:val="24"/>
          <w:szCs w:val="24"/>
        </w:rPr>
        <w:t>implications</w:t>
      </w:r>
      <w:r w:rsidR="00782C01" w:rsidRPr="00BC2735">
        <w:rPr>
          <w:sz w:val="24"/>
          <w:szCs w:val="24"/>
        </w:rPr>
        <w:t xml:space="preserve">, globalization, and increasing technological </w:t>
      </w:r>
      <w:r w:rsidR="007C72FA" w:rsidRPr="00BC2735">
        <w:rPr>
          <w:sz w:val="24"/>
          <w:szCs w:val="24"/>
        </w:rPr>
        <w:t xml:space="preserve">developments </w:t>
      </w:r>
      <w:r w:rsidR="00782C01" w:rsidRPr="00BC2735">
        <w:rPr>
          <w:sz w:val="24"/>
          <w:szCs w:val="24"/>
        </w:rPr>
        <w:t>a</w:t>
      </w:r>
      <w:r w:rsidRPr="00BC2735">
        <w:rPr>
          <w:sz w:val="24"/>
          <w:szCs w:val="24"/>
        </w:rPr>
        <w:t xml:space="preserve">ffecting </w:t>
      </w:r>
      <w:r w:rsidR="00782C01" w:rsidRPr="00BC2735">
        <w:rPr>
          <w:sz w:val="24"/>
          <w:szCs w:val="24"/>
        </w:rPr>
        <w:t xml:space="preserve">everyone at accelerating rates, it is clear that not enough has been done by educational </w:t>
      </w:r>
      <w:r w:rsidR="00BC2735">
        <w:rPr>
          <w:sz w:val="24"/>
          <w:szCs w:val="24"/>
        </w:rPr>
        <w:t>bodies</w:t>
      </w:r>
      <w:r w:rsidR="00782C01" w:rsidRPr="00BC2735">
        <w:rPr>
          <w:sz w:val="24"/>
          <w:szCs w:val="24"/>
        </w:rPr>
        <w:t xml:space="preserve"> in most cultures to prepare individuals who  now </w:t>
      </w:r>
      <w:r w:rsidR="007C72FA" w:rsidRPr="00BC2735">
        <w:rPr>
          <w:sz w:val="24"/>
          <w:szCs w:val="24"/>
        </w:rPr>
        <w:t xml:space="preserve">often find themselves </w:t>
      </w:r>
      <w:r w:rsidR="00782C01" w:rsidRPr="00BC2735">
        <w:rPr>
          <w:sz w:val="24"/>
          <w:szCs w:val="24"/>
        </w:rPr>
        <w:t xml:space="preserve">victims of a skills gap.  The investiture of financial and human capital in skills preparation or re-training, though recognized by </w:t>
      </w:r>
      <w:r w:rsidR="004C309A" w:rsidRPr="00BC2735">
        <w:rPr>
          <w:sz w:val="24"/>
          <w:szCs w:val="24"/>
        </w:rPr>
        <w:t xml:space="preserve">businesspersons, </w:t>
      </w:r>
      <w:r w:rsidR="00782C01" w:rsidRPr="00BC2735">
        <w:rPr>
          <w:sz w:val="24"/>
          <w:szCs w:val="24"/>
        </w:rPr>
        <w:t>economists</w:t>
      </w:r>
      <w:r w:rsidR="00BC2735">
        <w:rPr>
          <w:sz w:val="24"/>
          <w:szCs w:val="24"/>
        </w:rPr>
        <w:t>,</w:t>
      </w:r>
      <w:r w:rsidR="00782C01" w:rsidRPr="00BC2735">
        <w:rPr>
          <w:sz w:val="24"/>
          <w:szCs w:val="24"/>
        </w:rPr>
        <w:t xml:space="preserve"> and many </w:t>
      </w:r>
      <w:r w:rsidR="00BC2735" w:rsidRPr="00BC2735">
        <w:rPr>
          <w:sz w:val="24"/>
          <w:szCs w:val="24"/>
        </w:rPr>
        <w:t>scholars</w:t>
      </w:r>
      <w:r w:rsidR="00782C01" w:rsidRPr="00BC2735">
        <w:rPr>
          <w:sz w:val="24"/>
          <w:szCs w:val="24"/>
        </w:rPr>
        <w:t xml:space="preserve"> for decades</w:t>
      </w:r>
      <w:r w:rsidR="004C309A" w:rsidRPr="00BC2735">
        <w:rPr>
          <w:sz w:val="24"/>
          <w:szCs w:val="24"/>
        </w:rPr>
        <w:t xml:space="preserve">, is often </w:t>
      </w:r>
      <w:r w:rsidR="007C72FA" w:rsidRPr="00BC2735">
        <w:rPr>
          <w:sz w:val="24"/>
          <w:szCs w:val="24"/>
        </w:rPr>
        <w:t xml:space="preserve">now </w:t>
      </w:r>
      <w:r w:rsidR="004C309A" w:rsidRPr="00BC2735">
        <w:rPr>
          <w:sz w:val="24"/>
          <w:szCs w:val="24"/>
        </w:rPr>
        <w:t>characterized as</w:t>
      </w:r>
      <w:r w:rsidR="00BC2735">
        <w:rPr>
          <w:sz w:val="24"/>
          <w:szCs w:val="24"/>
        </w:rPr>
        <w:t xml:space="preserve"> “</w:t>
      </w:r>
      <w:r w:rsidR="004C309A" w:rsidRPr="00BC2735">
        <w:rPr>
          <w:sz w:val="24"/>
          <w:szCs w:val="24"/>
        </w:rPr>
        <w:t>too little</w:t>
      </w:r>
      <w:r w:rsidR="007C72FA" w:rsidRPr="00BC2735">
        <w:rPr>
          <w:sz w:val="24"/>
          <w:szCs w:val="24"/>
        </w:rPr>
        <w:t xml:space="preserve"> and</w:t>
      </w:r>
      <w:r w:rsidR="004C309A" w:rsidRPr="00BC2735">
        <w:rPr>
          <w:sz w:val="24"/>
          <w:szCs w:val="24"/>
        </w:rPr>
        <w:t xml:space="preserve"> too late</w:t>
      </w:r>
      <w:r w:rsidR="00BC2735">
        <w:rPr>
          <w:sz w:val="24"/>
          <w:szCs w:val="24"/>
        </w:rPr>
        <w:t>”</w:t>
      </w:r>
      <w:r w:rsidR="004C309A" w:rsidRPr="00BC2735">
        <w:rPr>
          <w:sz w:val="24"/>
          <w:szCs w:val="24"/>
        </w:rPr>
        <w:t>.  Now in the second decade of the 21</w:t>
      </w:r>
      <w:r w:rsidR="004C309A" w:rsidRPr="00BC2735">
        <w:rPr>
          <w:sz w:val="24"/>
          <w:szCs w:val="24"/>
          <w:vertAlign w:val="superscript"/>
        </w:rPr>
        <w:t>st</w:t>
      </w:r>
      <w:r w:rsidR="004C309A" w:rsidRPr="00BC2735">
        <w:rPr>
          <w:sz w:val="24"/>
          <w:szCs w:val="24"/>
        </w:rPr>
        <w:t xml:space="preserve"> century, many developed economies are finding that the demands on individuals and organizations in this climate of continuous change are great</w:t>
      </w:r>
      <w:r w:rsidR="00BC2735">
        <w:rPr>
          <w:sz w:val="24"/>
          <w:szCs w:val="24"/>
        </w:rPr>
        <w:t>,</w:t>
      </w:r>
      <w:r w:rsidR="004C309A" w:rsidRPr="00BC2735">
        <w:rPr>
          <w:sz w:val="24"/>
          <w:szCs w:val="24"/>
        </w:rPr>
        <w:t xml:space="preserve"> yet the means and processes</w:t>
      </w:r>
      <w:r w:rsidR="00DA4605" w:rsidRPr="00BC2735">
        <w:rPr>
          <w:sz w:val="24"/>
          <w:szCs w:val="24"/>
        </w:rPr>
        <w:t xml:space="preserve"> to deliver the multiplicity of necessary skills is distressingly lacking.  </w:t>
      </w:r>
      <w:r w:rsidR="007C72FA" w:rsidRPr="00BC2735">
        <w:rPr>
          <w:sz w:val="24"/>
          <w:szCs w:val="24"/>
        </w:rPr>
        <w:t>Individuals</w:t>
      </w:r>
      <w:r w:rsidR="006C1E51" w:rsidRPr="00BC2735">
        <w:rPr>
          <w:sz w:val="24"/>
          <w:szCs w:val="24"/>
        </w:rPr>
        <w:t xml:space="preserve"> and institutions</w:t>
      </w:r>
      <w:r w:rsidR="007C72FA" w:rsidRPr="00BC2735">
        <w:rPr>
          <w:sz w:val="24"/>
          <w:szCs w:val="24"/>
        </w:rPr>
        <w:t xml:space="preserve">, who </w:t>
      </w:r>
      <w:r w:rsidR="006C1E51" w:rsidRPr="00BC2735">
        <w:rPr>
          <w:sz w:val="24"/>
          <w:szCs w:val="24"/>
        </w:rPr>
        <w:t>belong to</w:t>
      </w:r>
      <w:r w:rsidR="007C72FA" w:rsidRPr="00BC2735">
        <w:rPr>
          <w:sz w:val="24"/>
          <w:szCs w:val="24"/>
        </w:rPr>
        <w:t xml:space="preserve"> what </w:t>
      </w:r>
      <w:r w:rsidR="006C1E51" w:rsidRPr="00BC2735">
        <w:rPr>
          <w:sz w:val="24"/>
          <w:szCs w:val="24"/>
        </w:rPr>
        <w:t>are</w:t>
      </w:r>
      <w:r w:rsidR="007C72FA" w:rsidRPr="00BC2735">
        <w:rPr>
          <w:sz w:val="24"/>
          <w:szCs w:val="24"/>
        </w:rPr>
        <w:t xml:space="preserve"> considered “developed”</w:t>
      </w:r>
      <w:r w:rsidR="006C1E51" w:rsidRPr="00BC2735">
        <w:rPr>
          <w:sz w:val="24"/>
          <w:szCs w:val="24"/>
        </w:rPr>
        <w:t xml:space="preserve"> societies, and are living in this era of accelerating skill demands are either becoming victims of this shift in social parallels and are either unaware of the demand for lifelong learning or are unwilling or unable to face the requirements.  What can be done to </w:t>
      </w:r>
      <w:r w:rsidR="007966E7" w:rsidRPr="00BC2735">
        <w:rPr>
          <w:sz w:val="24"/>
          <w:szCs w:val="24"/>
        </w:rPr>
        <w:t xml:space="preserve">address </w:t>
      </w:r>
      <w:r w:rsidR="006C1E51" w:rsidRPr="00BC2735">
        <w:rPr>
          <w:sz w:val="24"/>
          <w:szCs w:val="24"/>
        </w:rPr>
        <w:t>this deficiency</w:t>
      </w:r>
      <w:r w:rsidR="008D3214" w:rsidRPr="00BC2735">
        <w:rPr>
          <w:sz w:val="24"/>
          <w:szCs w:val="24"/>
        </w:rPr>
        <w:t xml:space="preserve"> in this era of the “Knowledge Age</w:t>
      </w:r>
      <w:r w:rsidR="00B6195F">
        <w:rPr>
          <w:sz w:val="24"/>
          <w:szCs w:val="24"/>
        </w:rPr>
        <w:t>”</w:t>
      </w:r>
      <w:bookmarkStart w:id="0" w:name="_GoBack"/>
      <w:bookmarkEnd w:id="0"/>
      <w:r w:rsidR="006C1E51" w:rsidRPr="00BC2735">
        <w:rPr>
          <w:sz w:val="24"/>
          <w:szCs w:val="24"/>
        </w:rPr>
        <w:t>?</w:t>
      </w:r>
    </w:p>
    <w:p w:rsidR="008D3214" w:rsidRPr="00BC2735" w:rsidRDefault="008D3214" w:rsidP="00B6324A">
      <w:pPr>
        <w:ind w:right="-270" w:firstLine="720"/>
        <w:rPr>
          <w:sz w:val="24"/>
          <w:szCs w:val="24"/>
        </w:rPr>
      </w:pPr>
      <w:r w:rsidRPr="00BC2735">
        <w:rPr>
          <w:sz w:val="24"/>
          <w:szCs w:val="24"/>
        </w:rPr>
        <w:t>With expertise</w:t>
      </w:r>
      <w:r w:rsidR="00983F6B" w:rsidRPr="00BC2735">
        <w:rPr>
          <w:sz w:val="24"/>
          <w:szCs w:val="24"/>
        </w:rPr>
        <w:t xml:space="preserve"> and equipment</w:t>
      </w:r>
      <w:r w:rsidRPr="00BC2735">
        <w:rPr>
          <w:sz w:val="24"/>
          <w:szCs w:val="24"/>
        </w:rPr>
        <w:t xml:space="preserve"> ever expanding, </w:t>
      </w:r>
      <w:r w:rsidR="007966E7" w:rsidRPr="00BC2735">
        <w:rPr>
          <w:sz w:val="24"/>
          <w:szCs w:val="24"/>
        </w:rPr>
        <w:t>societies</w:t>
      </w:r>
      <w:r w:rsidRPr="00BC2735">
        <w:rPr>
          <w:sz w:val="24"/>
          <w:szCs w:val="24"/>
        </w:rPr>
        <w:t xml:space="preserve"> have moved from the Industrial Age (</w:t>
      </w:r>
      <w:r w:rsidR="00983F6B" w:rsidRPr="00BC2735">
        <w:rPr>
          <w:sz w:val="24"/>
          <w:szCs w:val="24"/>
        </w:rPr>
        <w:t>approximately</w:t>
      </w:r>
      <w:r w:rsidRPr="00BC2735">
        <w:rPr>
          <w:sz w:val="24"/>
          <w:szCs w:val="24"/>
        </w:rPr>
        <w:t xml:space="preserve"> 1800 to 1950</w:t>
      </w:r>
      <w:r w:rsidR="00983F6B" w:rsidRPr="00BC2735">
        <w:rPr>
          <w:sz w:val="24"/>
          <w:szCs w:val="24"/>
        </w:rPr>
        <w:t>s</w:t>
      </w:r>
      <w:r w:rsidRPr="00BC2735">
        <w:rPr>
          <w:sz w:val="24"/>
          <w:szCs w:val="24"/>
        </w:rPr>
        <w:t>), into the T</w:t>
      </w:r>
      <w:r w:rsidR="00983F6B" w:rsidRPr="00BC2735">
        <w:rPr>
          <w:sz w:val="24"/>
          <w:szCs w:val="24"/>
        </w:rPr>
        <w:t>echnology/Information Age (1960s to 1990s) and now into the Knowledge Age or knowledge</w:t>
      </w:r>
      <w:r w:rsidR="007966E7" w:rsidRPr="00BC2735">
        <w:rPr>
          <w:sz w:val="24"/>
          <w:szCs w:val="24"/>
        </w:rPr>
        <w:t>-</w:t>
      </w:r>
      <w:r w:rsidR="00983F6B" w:rsidRPr="00BC2735">
        <w:rPr>
          <w:sz w:val="24"/>
          <w:szCs w:val="24"/>
        </w:rPr>
        <w:t xml:space="preserve">based society in which we tap the resources of human capital, mass customization, </w:t>
      </w:r>
      <w:proofErr w:type="gramStart"/>
      <w:r w:rsidR="00983F6B" w:rsidRPr="00BC2735">
        <w:rPr>
          <w:sz w:val="24"/>
          <w:szCs w:val="24"/>
        </w:rPr>
        <w:t>global</w:t>
      </w:r>
      <w:proofErr w:type="gramEnd"/>
      <w:r w:rsidR="00983F6B" w:rsidRPr="00BC2735">
        <w:rPr>
          <w:sz w:val="24"/>
          <w:szCs w:val="24"/>
        </w:rPr>
        <w:t xml:space="preserve"> organizations and increasingly are putting greater value on non-cognitive and affective skills.  We are also </w:t>
      </w:r>
      <w:r w:rsidR="00703386" w:rsidRPr="00BC2735">
        <w:rPr>
          <w:sz w:val="24"/>
          <w:szCs w:val="24"/>
        </w:rPr>
        <w:t xml:space="preserve">seeing </w:t>
      </w:r>
      <w:r w:rsidR="00983F6B" w:rsidRPr="00BC2735">
        <w:rPr>
          <w:sz w:val="24"/>
          <w:szCs w:val="24"/>
        </w:rPr>
        <w:t xml:space="preserve">business </w:t>
      </w:r>
      <w:r w:rsidR="00BC2735">
        <w:rPr>
          <w:sz w:val="24"/>
          <w:szCs w:val="24"/>
        </w:rPr>
        <w:t>producers</w:t>
      </w:r>
      <w:r w:rsidR="00983F6B" w:rsidRPr="00BC2735">
        <w:rPr>
          <w:sz w:val="24"/>
          <w:szCs w:val="24"/>
        </w:rPr>
        <w:t xml:space="preserve"> promulgating the </w:t>
      </w:r>
      <w:r w:rsidR="00703386" w:rsidRPr="00BC2735">
        <w:rPr>
          <w:sz w:val="24"/>
          <w:szCs w:val="24"/>
        </w:rPr>
        <w:t xml:space="preserve">business model </w:t>
      </w:r>
      <w:r w:rsidR="00D62743">
        <w:rPr>
          <w:sz w:val="24"/>
          <w:szCs w:val="24"/>
        </w:rPr>
        <w:t xml:space="preserve">directly </w:t>
      </w:r>
      <w:r w:rsidR="00703386" w:rsidRPr="00BC2735">
        <w:rPr>
          <w:sz w:val="24"/>
          <w:szCs w:val="24"/>
        </w:rPr>
        <w:t xml:space="preserve">with customers </w:t>
      </w:r>
      <w:r w:rsidR="00BC2735">
        <w:rPr>
          <w:sz w:val="24"/>
          <w:szCs w:val="24"/>
        </w:rPr>
        <w:t xml:space="preserve">who </w:t>
      </w:r>
      <w:r w:rsidR="00703386" w:rsidRPr="00BC2735">
        <w:rPr>
          <w:sz w:val="24"/>
          <w:szCs w:val="24"/>
        </w:rPr>
        <w:t xml:space="preserve">sometimes </w:t>
      </w:r>
      <w:r w:rsidR="00BC2735">
        <w:rPr>
          <w:sz w:val="24"/>
          <w:szCs w:val="24"/>
        </w:rPr>
        <w:t xml:space="preserve">are now </w:t>
      </w:r>
      <w:r w:rsidR="00703386" w:rsidRPr="00BC2735">
        <w:rPr>
          <w:sz w:val="24"/>
          <w:szCs w:val="24"/>
        </w:rPr>
        <w:t>referred to</w:t>
      </w:r>
      <w:r w:rsidR="00983F6B" w:rsidRPr="00BC2735">
        <w:rPr>
          <w:sz w:val="24"/>
          <w:szCs w:val="24"/>
        </w:rPr>
        <w:t xml:space="preserve"> as “</w:t>
      </w:r>
      <w:proofErr w:type="spellStart"/>
      <w:r w:rsidR="00983F6B" w:rsidRPr="00BC2735">
        <w:rPr>
          <w:sz w:val="24"/>
          <w:szCs w:val="24"/>
        </w:rPr>
        <w:t>prosumers</w:t>
      </w:r>
      <w:proofErr w:type="spellEnd"/>
      <w:r w:rsidR="00983F6B" w:rsidRPr="00BC2735">
        <w:rPr>
          <w:sz w:val="24"/>
          <w:szCs w:val="24"/>
        </w:rPr>
        <w:t>”, e.g., Dell</w:t>
      </w:r>
      <w:r w:rsidR="00703386" w:rsidRPr="00BC2735">
        <w:rPr>
          <w:sz w:val="24"/>
          <w:szCs w:val="24"/>
        </w:rPr>
        <w:t xml:space="preserve"> Computers, Amazon, e-Bay, etc.</w:t>
      </w:r>
      <w:r w:rsidR="00703386" w:rsidRPr="00BC2735">
        <w:rPr>
          <w:rStyle w:val="FootnoteReference"/>
          <w:sz w:val="24"/>
          <w:szCs w:val="24"/>
        </w:rPr>
        <w:footnoteReference w:id="1"/>
      </w:r>
      <w:r w:rsidR="00983F6B" w:rsidRPr="00BC2735">
        <w:rPr>
          <w:sz w:val="24"/>
          <w:szCs w:val="24"/>
        </w:rPr>
        <w:t xml:space="preserve"> </w:t>
      </w:r>
      <w:r w:rsidR="00941512" w:rsidRPr="00BC2735">
        <w:rPr>
          <w:sz w:val="24"/>
          <w:szCs w:val="24"/>
        </w:rPr>
        <w:t xml:space="preserve"> The idea of going direct has accommodated the desires of modern day consumers for choice, speed, variety, quality, and customization.  Networking </w:t>
      </w:r>
      <w:r w:rsidR="00BC2735">
        <w:rPr>
          <w:sz w:val="24"/>
          <w:szCs w:val="24"/>
        </w:rPr>
        <w:t xml:space="preserve">directly </w:t>
      </w:r>
      <w:r w:rsidR="00941512" w:rsidRPr="00BC2735">
        <w:rPr>
          <w:sz w:val="24"/>
          <w:szCs w:val="24"/>
        </w:rPr>
        <w:t xml:space="preserve">with consumers has created the need for many technological skills now required by e-commerce, including software and web development, </w:t>
      </w:r>
      <w:r w:rsidR="00B6324A" w:rsidRPr="00BC2735">
        <w:rPr>
          <w:sz w:val="24"/>
          <w:szCs w:val="24"/>
        </w:rPr>
        <w:t xml:space="preserve">artificial intelligence framework as used in data mining, communications technologists and specialists, etc.   Network marketing has not just become well known, it is becoming the dominant form of sales model with the multitude of skills required to support it.  Are we training students to master these new skills?  </w:t>
      </w:r>
      <w:r w:rsidR="00916F1B" w:rsidRPr="00BC2735">
        <w:rPr>
          <w:sz w:val="24"/>
          <w:szCs w:val="24"/>
        </w:rPr>
        <w:t xml:space="preserve">Network marketing works </w:t>
      </w:r>
      <w:r w:rsidR="00553928" w:rsidRPr="00BC2735">
        <w:rPr>
          <w:sz w:val="24"/>
          <w:szCs w:val="24"/>
        </w:rPr>
        <w:t xml:space="preserve">in the business environment, but providing skills to client/consumers can also work in educational models, but </w:t>
      </w:r>
      <w:r w:rsidR="00E53C8A" w:rsidRPr="00BC2735">
        <w:rPr>
          <w:sz w:val="24"/>
          <w:szCs w:val="24"/>
        </w:rPr>
        <w:t>development</w:t>
      </w:r>
      <w:r w:rsidR="00553928" w:rsidRPr="00BC2735">
        <w:rPr>
          <w:sz w:val="24"/>
          <w:szCs w:val="24"/>
        </w:rPr>
        <w:t xml:space="preserve"> in that area still lags.  </w:t>
      </w:r>
    </w:p>
    <w:p w:rsidR="008D3214" w:rsidRPr="00BC2735" w:rsidRDefault="00546482" w:rsidP="00320283">
      <w:pPr>
        <w:ind w:right="-270" w:firstLine="720"/>
        <w:rPr>
          <w:sz w:val="24"/>
          <w:szCs w:val="24"/>
        </w:rPr>
      </w:pPr>
      <w:r w:rsidRPr="00BC2735">
        <w:rPr>
          <w:sz w:val="24"/>
          <w:szCs w:val="24"/>
        </w:rPr>
        <w:lastRenderedPageBreak/>
        <w:t xml:space="preserve">The shift in unskilled labor to skilled labor is </w:t>
      </w:r>
      <w:r w:rsidR="00A335AC" w:rsidRPr="00BC2735">
        <w:rPr>
          <w:sz w:val="24"/>
          <w:szCs w:val="24"/>
        </w:rPr>
        <w:t xml:space="preserve">ever mounting.  And more importantly, the skills that one has do not remain static.  New training and re-training are necessary to maintain one’s current career status as well as </w:t>
      </w:r>
      <w:r w:rsidR="00E53C8A">
        <w:rPr>
          <w:sz w:val="24"/>
          <w:szCs w:val="24"/>
        </w:rPr>
        <w:t xml:space="preserve">allow that person </w:t>
      </w:r>
      <w:r w:rsidR="00A335AC" w:rsidRPr="00BC2735">
        <w:rPr>
          <w:sz w:val="24"/>
          <w:szCs w:val="24"/>
        </w:rPr>
        <w:t xml:space="preserve">to move vertically or laterally in the workforce.  </w:t>
      </w:r>
      <w:r w:rsidR="00E00720" w:rsidRPr="00BC2735">
        <w:rPr>
          <w:sz w:val="24"/>
          <w:szCs w:val="24"/>
        </w:rPr>
        <w:t xml:space="preserve">However, it can often be seen that in today’s educational models, parents and community members are disappointed by results.  Most youth don’t find themselves in the job market until they are in their late twenties.  The </w:t>
      </w:r>
      <w:r w:rsidR="00DC214F" w:rsidRPr="00BC2735">
        <w:rPr>
          <w:sz w:val="24"/>
          <w:szCs w:val="24"/>
        </w:rPr>
        <w:t xml:space="preserve">National School Board Association </w:t>
      </w:r>
      <w:r w:rsidR="00E53C8A">
        <w:rPr>
          <w:sz w:val="24"/>
          <w:szCs w:val="24"/>
        </w:rPr>
        <w:t xml:space="preserve">(U.S.) </w:t>
      </w:r>
      <w:r w:rsidR="00DC214F" w:rsidRPr="00BC2735">
        <w:rPr>
          <w:sz w:val="24"/>
          <w:szCs w:val="24"/>
        </w:rPr>
        <w:t xml:space="preserve">reports that “by age 25 only 25% earn a </w:t>
      </w:r>
      <w:proofErr w:type="gramStart"/>
      <w:r w:rsidR="00DC214F" w:rsidRPr="00BC2735">
        <w:rPr>
          <w:sz w:val="24"/>
          <w:szCs w:val="24"/>
        </w:rPr>
        <w:t>BA,</w:t>
      </w:r>
      <w:proofErr w:type="gramEnd"/>
      <w:r w:rsidR="00DC214F" w:rsidRPr="00BC2735">
        <w:rPr>
          <w:sz w:val="24"/>
          <w:szCs w:val="24"/>
        </w:rPr>
        <w:t xml:space="preserve"> </w:t>
      </w:r>
      <w:r w:rsidR="00320283" w:rsidRPr="00BC2735">
        <w:rPr>
          <w:sz w:val="24"/>
          <w:szCs w:val="24"/>
        </w:rPr>
        <w:t xml:space="preserve">[and] </w:t>
      </w:r>
      <w:r w:rsidR="00DC214F" w:rsidRPr="00BC2735">
        <w:rPr>
          <w:sz w:val="24"/>
          <w:szCs w:val="24"/>
        </w:rPr>
        <w:t>5% earn an associate’s degree.”</w:t>
      </w:r>
      <w:r w:rsidR="00DC214F" w:rsidRPr="00BC2735">
        <w:rPr>
          <w:rStyle w:val="FootnoteReference"/>
          <w:sz w:val="24"/>
          <w:szCs w:val="24"/>
        </w:rPr>
        <w:footnoteReference w:id="2"/>
      </w:r>
      <w:r w:rsidR="00320283" w:rsidRPr="00BC2735">
        <w:rPr>
          <w:sz w:val="24"/>
          <w:szCs w:val="24"/>
        </w:rPr>
        <w:t xml:space="preserve">  A </w:t>
      </w:r>
      <w:r w:rsidR="00320283" w:rsidRPr="00BC2735">
        <w:rPr>
          <w:b/>
          <w:i/>
          <w:sz w:val="24"/>
          <w:szCs w:val="24"/>
        </w:rPr>
        <w:t>perceived</w:t>
      </w:r>
      <w:r w:rsidR="00320283" w:rsidRPr="00BC2735">
        <w:rPr>
          <w:sz w:val="24"/>
          <w:szCs w:val="24"/>
        </w:rPr>
        <w:t xml:space="preserve"> decline is </w:t>
      </w:r>
      <w:r w:rsidR="007966E7" w:rsidRPr="00BC2735">
        <w:rPr>
          <w:sz w:val="24"/>
          <w:szCs w:val="24"/>
        </w:rPr>
        <w:t>reported even though educational achievement</w:t>
      </w:r>
      <w:r w:rsidR="00E53C8A">
        <w:rPr>
          <w:sz w:val="24"/>
          <w:szCs w:val="24"/>
        </w:rPr>
        <w:t xml:space="preserve"> is rising,</w:t>
      </w:r>
      <w:r w:rsidR="007966E7" w:rsidRPr="00BC2735">
        <w:rPr>
          <w:sz w:val="24"/>
          <w:szCs w:val="24"/>
        </w:rPr>
        <w:t xml:space="preserve"> </w:t>
      </w:r>
      <w:r w:rsidR="00E53C8A">
        <w:rPr>
          <w:sz w:val="24"/>
          <w:szCs w:val="24"/>
        </w:rPr>
        <w:t>a</w:t>
      </w:r>
      <w:r w:rsidR="007966E7" w:rsidRPr="00BC2735">
        <w:rPr>
          <w:sz w:val="24"/>
          <w:szCs w:val="24"/>
        </w:rPr>
        <w:t xml:space="preserve">ccording to the </w:t>
      </w:r>
      <w:r w:rsidR="00383226" w:rsidRPr="00BC2735">
        <w:rPr>
          <w:sz w:val="24"/>
          <w:szCs w:val="24"/>
        </w:rPr>
        <w:t xml:space="preserve">Education Commission of the States’, </w:t>
      </w:r>
      <w:r w:rsidR="00383226" w:rsidRPr="00BC2735">
        <w:rPr>
          <w:i/>
          <w:sz w:val="24"/>
          <w:szCs w:val="24"/>
        </w:rPr>
        <w:t xml:space="preserve">Bridging the Gap.   </w:t>
      </w:r>
      <w:r w:rsidR="00383226" w:rsidRPr="00BC2735">
        <w:rPr>
          <w:sz w:val="24"/>
          <w:szCs w:val="24"/>
        </w:rPr>
        <w:t xml:space="preserve">With continued organizational downsizing and restructuring, multiple career changes continue to grow.  These continuing developments accentuate the role that lifelong learning and flexibility must </w:t>
      </w:r>
      <w:r w:rsidR="00EA0AE6">
        <w:rPr>
          <w:sz w:val="24"/>
          <w:szCs w:val="24"/>
        </w:rPr>
        <w:t>preoccupy</w:t>
      </w:r>
      <w:r w:rsidR="00383226" w:rsidRPr="00BC2735">
        <w:rPr>
          <w:sz w:val="24"/>
          <w:szCs w:val="24"/>
        </w:rPr>
        <w:t xml:space="preserve"> anyone wanting to remain active in the workforce, or indeed </w:t>
      </w:r>
      <w:r w:rsidR="00EA0AE6">
        <w:rPr>
          <w:sz w:val="24"/>
          <w:szCs w:val="24"/>
        </w:rPr>
        <w:t xml:space="preserve">be active </w:t>
      </w:r>
      <w:r w:rsidR="00383226" w:rsidRPr="00BC2735">
        <w:rPr>
          <w:sz w:val="24"/>
          <w:szCs w:val="24"/>
        </w:rPr>
        <w:t xml:space="preserve">as a contributing member of society.  </w:t>
      </w:r>
      <w:r w:rsidR="0050642D" w:rsidRPr="00BC2735">
        <w:rPr>
          <w:sz w:val="24"/>
          <w:szCs w:val="24"/>
        </w:rPr>
        <w:t>One poll based on a study indicates that the a</w:t>
      </w:r>
      <w:r w:rsidR="000D7582" w:rsidRPr="00BC2735">
        <w:rPr>
          <w:sz w:val="24"/>
          <w:szCs w:val="24"/>
        </w:rPr>
        <w:t xml:space="preserve">verage job </w:t>
      </w:r>
      <w:r w:rsidR="00E53C8A">
        <w:rPr>
          <w:sz w:val="24"/>
          <w:szCs w:val="24"/>
        </w:rPr>
        <w:t>lasts</w:t>
      </w:r>
      <w:r w:rsidR="000D7582" w:rsidRPr="00BC2735">
        <w:rPr>
          <w:sz w:val="24"/>
          <w:szCs w:val="24"/>
        </w:rPr>
        <w:t xml:space="preserve"> about 2.5 years</w:t>
      </w:r>
      <w:r w:rsidR="00EA0AE6">
        <w:rPr>
          <w:sz w:val="24"/>
          <w:szCs w:val="24"/>
        </w:rPr>
        <w:t>.</w:t>
      </w:r>
      <w:r w:rsidR="00EA0AE6" w:rsidRPr="00BC2735">
        <w:rPr>
          <w:rStyle w:val="FootnoteReference"/>
          <w:sz w:val="24"/>
          <w:szCs w:val="24"/>
        </w:rPr>
        <w:footnoteReference w:id="3"/>
      </w:r>
      <w:r w:rsidR="000D7582" w:rsidRPr="00BC2735">
        <w:rPr>
          <w:sz w:val="24"/>
          <w:szCs w:val="24"/>
        </w:rPr>
        <w:t xml:space="preserve">  Consequently, lifelong learning will be a must.  Wikipedia, in part, defines lifelong learning as one that “not only enhances social inclusion, active citizenship and personal development, but also competitiveness and employability?”  Is the task to instill </w:t>
      </w:r>
      <w:r w:rsidR="00E53C8A">
        <w:rPr>
          <w:sz w:val="24"/>
          <w:szCs w:val="24"/>
        </w:rPr>
        <w:t xml:space="preserve">the </w:t>
      </w:r>
      <w:r w:rsidR="00E53C8A" w:rsidRPr="00EA0AE6">
        <w:rPr>
          <w:i/>
          <w:sz w:val="24"/>
          <w:szCs w:val="24"/>
        </w:rPr>
        <w:t>need</w:t>
      </w:r>
      <w:r w:rsidR="00E53C8A">
        <w:rPr>
          <w:sz w:val="24"/>
          <w:szCs w:val="24"/>
        </w:rPr>
        <w:t xml:space="preserve"> for lifelong learning</w:t>
      </w:r>
      <w:r w:rsidR="000D7582" w:rsidRPr="00BC2735">
        <w:rPr>
          <w:sz w:val="24"/>
          <w:szCs w:val="24"/>
        </w:rPr>
        <w:t xml:space="preserve"> in our students a possibility?  </w:t>
      </w:r>
    </w:p>
    <w:p w:rsidR="000D7582" w:rsidRPr="006A7556" w:rsidRDefault="000D7582" w:rsidP="00320283">
      <w:pPr>
        <w:ind w:right="-270" w:firstLine="720"/>
        <w:rPr>
          <w:sz w:val="24"/>
          <w:szCs w:val="24"/>
        </w:rPr>
      </w:pPr>
      <w:r w:rsidRPr="00BC2735">
        <w:rPr>
          <w:sz w:val="24"/>
          <w:szCs w:val="24"/>
        </w:rPr>
        <w:t xml:space="preserve">The skills that </w:t>
      </w:r>
      <w:r w:rsidR="008F2267" w:rsidRPr="00BC2735">
        <w:rPr>
          <w:sz w:val="24"/>
          <w:szCs w:val="24"/>
        </w:rPr>
        <w:t xml:space="preserve">will be required will not and cannot only be </w:t>
      </w:r>
      <w:r w:rsidR="00E53C8A">
        <w:rPr>
          <w:sz w:val="24"/>
          <w:szCs w:val="24"/>
        </w:rPr>
        <w:t xml:space="preserve">the </w:t>
      </w:r>
      <w:r w:rsidR="008F2267" w:rsidRPr="00BC2735">
        <w:rPr>
          <w:sz w:val="24"/>
          <w:szCs w:val="24"/>
        </w:rPr>
        <w:t xml:space="preserve">“hard” skills, but also what might be considered “soft” skills </w:t>
      </w:r>
      <w:r w:rsidR="00262F37" w:rsidRPr="00BC2735">
        <w:rPr>
          <w:sz w:val="24"/>
          <w:szCs w:val="24"/>
        </w:rPr>
        <w:t>including what are being publicized as 21</w:t>
      </w:r>
      <w:r w:rsidR="00262F37" w:rsidRPr="00BC2735">
        <w:rPr>
          <w:sz w:val="24"/>
          <w:szCs w:val="24"/>
          <w:vertAlign w:val="superscript"/>
        </w:rPr>
        <w:t>st</w:t>
      </w:r>
      <w:r w:rsidR="00262F37" w:rsidRPr="00BC2735">
        <w:rPr>
          <w:sz w:val="24"/>
          <w:szCs w:val="24"/>
        </w:rPr>
        <w:t xml:space="preserve"> Century Skills by the Partnership for 21</w:t>
      </w:r>
      <w:r w:rsidR="00262F37" w:rsidRPr="00BC2735">
        <w:rPr>
          <w:sz w:val="24"/>
          <w:szCs w:val="24"/>
          <w:vertAlign w:val="superscript"/>
        </w:rPr>
        <w:t>st</w:t>
      </w:r>
      <w:r w:rsidR="00262F37" w:rsidRPr="00BC2735">
        <w:rPr>
          <w:sz w:val="24"/>
          <w:szCs w:val="24"/>
        </w:rPr>
        <w:t xml:space="preserve"> Century Skills and the American Management Association.  Partnership for 21</w:t>
      </w:r>
      <w:r w:rsidR="00262F37" w:rsidRPr="00BC2735">
        <w:rPr>
          <w:sz w:val="24"/>
          <w:szCs w:val="24"/>
          <w:vertAlign w:val="superscript"/>
        </w:rPr>
        <w:t>st</w:t>
      </w:r>
      <w:r w:rsidR="00262F37" w:rsidRPr="00BC2735">
        <w:rPr>
          <w:sz w:val="24"/>
          <w:szCs w:val="24"/>
        </w:rPr>
        <w:t xml:space="preserve"> Century Skills (P21) provides its membership </w:t>
      </w:r>
      <w:r w:rsidR="009F47A6" w:rsidRPr="00BC2735">
        <w:rPr>
          <w:sz w:val="24"/>
          <w:szCs w:val="24"/>
        </w:rPr>
        <w:t>the tools and resources to assist by combining the 3Rs with the new 4Cs (Critical Thinking and Problem Solving, Communication, Collaboration, Creativity and innovation).</w:t>
      </w:r>
      <w:r w:rsidR="009F47A6" w:rsidRPr="00BC2735">
        <w:rPr>
          <w:rStyle w:val="FootnoteReference"/>
          <w:sz w:val="24"/>
          <w:szCs w:val="24"/>
        </w:rPr>
        <w:footnoteReference w:id="4"/>
      </w:r>
      <w:r w:rsidR="009F47A6" w:rsidRPr="00BC2735">
        <w:rPr>
          <w:sz w:val="24"/>
          <w:szCs w:val="24"/>
        </w:rPr>
        <w:t xml:space="preserve">  The promoting of these “higher” skills training can be accomplished only by redesigning students’ educational experiences to increase completion rates.  There must be structured pathways to certificates and degrees followed by evaluation of educational practices (Is industry getting what it wants and needs from a trained/degreed individual?).   Education will also need to focus on dramatically improving college readiness</w:t>
      </w:r>
      <w:r w:rsidR="00A353D7" w:rsidRPr="00BC2735">
        <w:rPr>
          <w:sz w:val="24"/>
          <w:szCs w:val="24"/>
        </w:rPr>
        <w:t xml:space="preserve">.  The 3Rs do not diminish in importance in conjunction with the 4Cs.  The promotion of these combined skills will help close skills gaps because career and technical training will help students prepare students for existing and future jobs in regional and global economies.  To further promote and assess, partners in education and industry must more clearly re-define roles by reviewing respective tasks of current education and employment needs, ascertain if support structures (feeder schools responsible for entry-level skills) are adequately preparing students (through assessment), collaborate with private sector, government, and philanthropy to support the goal of preparation, and finally create incentives and opportunities for student and institutional success.  </w:t>
      </w:r>
      <w:r w:rsidR="00044A6E" w:rsidRPr="00BC2735">
        <w:rPr>
          <w:sz w:val="24"/>
          <w:szCs w:val="24"/>
        </w:rPr>
        <w:t xml:space="preserve">Many high-growth skill </w:t>
      </w:r>
      <w:r w:rsidR="00044A6E" w:rsidRPr="00BC2735">
        <w:rPr>
          <w:sz w:val="24"/>
          <w:szCs w:val="24"/>
        </w:rPr>
        <w:lastRenderedPageBreak/>
        <w:t xml:space="preserve">areas currently exist (including healthcare, education, accountancy, software development and application, to name a few; however, it is clear that we will no longer be able to </w:t>
      </w:r>
      <w:r w:rsidR="00E53C8A">
        <w:rPr>
          <w:sz w:val="24"/>
          <w:szCs w:val="24"/>
        </w:rPr>
        <w:t>educate</w:t>
      </w:r>
      <w:r w:rsidR="00044A6E" w:rsidRPr="00BC2735">
        <w:rPr>
          <w:sz w:val="24"/>
          <w:szCs w:val="24"/>
        </w:rPr>
        <w:t xml:space="preserve"> and train individuals for jobs that do not yet exist.   </w:t>
      </w:r>
      <w:r w:rsidR="000E6ED4" w:rsidRPr="00BC2735">
        <w:rPr>
          <w:sz w:val="24"/>
          <w:szCs w:val="24"/>
        </w:rPr>
        <w:t xml:space="preserve">Who could have predicted cell phones for almost everyone, </w:t>
      </w:r>
      <w:proofErr w:type="spellStart"/>
      <w:r w:rsidR="000E6ED4" w:rsidRPr="00BC2735">
        <w:rPr>
          <w:sz w:val="24"/>
          <w:szCs w:val="24"/>
        </w:rPr>
        <w:t>ipads</w:t>
      </w:r>
      <w:proofErr w:type="spellEnd"/>
      <w:r w:rsidR="000E6ED4" w:rsidRPr="00BC2735">
        <w:rPr>
          <w:sz w:val="24"/>
          <w:szCs w:val="24"/>
        </w:rPr>
        <w:t xml:space="preserve">, Kindles, Smart phones, hand-held GPS, text messaging, Twitters and Tweets, </w:t>
      </w:r>
      <w:r w:rsidR="00185F9F" w:rsidRPr="00BC2735">
        <w:rPr>
          <w:sz w:val="24"/>
          <w:szCs w:val="24"/>
        </w:rPr>
        <w:t xml:space="preserve">MySpace, YouTube, Facebook and Wikipedia?    Employers seek individuals who have the new </w:t>
      </w:r>
      <w:r w:rsidR="00E53C8A">
        <w:rPr>
          <w:sz w:val="24"/>
          <w:szCs w:val="24"/>
        </w:rPr>
        <w:t>essential</w:t>
      </w:r>
      <w:r w:rsidR="00185F9F" w:rsidRPr="00BC2735">
        <w:rPr>
          <w:sz w:val="24"/>
          <w:szCs w:val="24"/>
        </w:rPr>
        <w:t xml:space="preserve"> of communication/ collaboration/ interpersonal skills, critical thinking/problem solving skills, creativity and leadership skill</w:t>
      </w:r>
      <w:r w:rsidR="007B5418">
        <w:rPr>
          <w:sz w:val="24"/>
          <w:szCs w:val="24"/>
        </w:rPr>
        <w:t>s necessary</w:t>
      </w:r>
      <w:r w:rsidR="00185F9F" w:rsidRPr="00BC2735">
        <w:rPr>
          <w:sz w:val="24"/>
          <w:szCs w:val="24"/>
        </w:rPr>
        <w:t xml:space="preserve"> for the global economy.  </w:t>
      </w:r>
      <w:r w:rsidR="0074584B" w:rsidRPr="00BC2735">
        <w:rPr>
          <w:sz w:val="24"/>
          <w:szCs w:val="24"/>
        </w:rPr>
        <w:t>In the “Knowledge Age”</w:t>
      </w:r>
      <w:r w:rsidR="007B5418">
        <w:rPr>
          <w:sz w:val="24"/>
          <w:szCs w:val="24"/>
        </w:rPr>
        <w:t xml:space="preserve">, </w:t>
      </w:r>
      <w:r w:rsidR="0074584B" w:rsidRPr="00BC2735">
        <w:rPr>
          <w:sz w:val="24"/>
          <w:szCs w:val="24"/>
        </w:rPr>
        <w:t xml:space="preserve">the learning paradigm has changed.  According to Camille Preston of Aim Leadership, “Fifteen years ago, people who had access to information were in power.  Now with the internet, everyone has access to information.  Information is no longer a differentiator.  What’s important is your ability to cull from all the information </w:t>
      </w:r>
      <w:r w:rsidR="007B5418">
        <w:rPr>
          <w:sz w:val="24"/>
          <w:szCs w:val="24"/>
        </w:rPr>
        <w:t xml:space="preserve">that </w:t>
      </w:r>
      <w:r w:rsidR="0074584B" w:rsidRPr="00BC2735">
        <w:rPr>
          <w:sz w:val="24"/>
          <w:szCs w:val="24"/>
        </w:rPr>
        <w:t xml:space="preserve">exists.  </w:t>
      </w:r>
      <w:r w:rsidR="00E01BF3">
        <w:rPr>
          <w:sz w:val="24"/>
          <w:szCs w:val="24"/>
        </w:rPr>
        <w:t>I</w:t>
      </w:r>
      <w:r w:rsidR="0074584B" w:rsidRPr="00BC2735">
        <w:rPr>
          <w:sz w:val="24"/>
          <w:szCs w:val="24"/>
        </w:rPr>
        <w:t>nformation drives insight, which is really at the core of wisdom [knowledge].”</w:t>
      </w:r>
      <w:r w:rsidR="0074584B" w:rsidRPr="00BC2735">
        <w:rPr>
          <w:rStyle w:val="FootnoteReference"/>
          <w:sz w:val="24"/>
          <w:szCs w:val="24"/>
        </w:rPr>
        <w:footnoteReference w:id="5"/>
      </w:r>
      <w:r w:rsidR="00511F23" w:rsidRPr="00BC2735">
        <w:rPr>
          <w:sz w:val="24"/>
          <w:szCs w:val="24"/>
        </w:rPr>
        <w:t xml:space="preserve">  As educators, we must realize that schools thrive on relevant information.  In our rapidly changing world overflowing with new technology, our teachers and students require the </w:t>
      </w:r>
      <w:r w:rsidR="00511F23" w:rsidRPr="00BC2735">
        <w:rPr>
          <w:i/>
          <w:sz w:val="24"/>
          <w:szCs w:val="24"/>
        </w:rPr>
        <w:t>right</w:t>
      </w:r>
      <w:r w:rsidR="00511F23" w:rsidRPr="00BC2735">
        <w:rPr>
          <w:sz w:val="24"/>
          <w:szCs w:val="24"/>
        </w:rPr>
        <w:t xml:space="preserve"> information, from accurate sources today.  Having direct access to industry information gives the competitive edge needed to succeed.  Student performance and learning can be improved</w:t>
      </w:r>
      <w:r w:rsidR="00511F23" w:rsidRPr="006A7556">
        <w:rPr>
          <w:sz w:val="24"/>
          <w:szCs w:val="24"/>
        </w:rPr>
        <w:t xml:space="preserve"> when enhanced teaching through technology is implemented as the norm.  Learning paradigms must, therefore, shift.  Glenn </w:t>
      </w:r>
      <w:r w:rsidR="00E01BF3">
        <w:rPr>
          <w:sz w:val="24"/>
          <w:szCs w:val="24"/>
        </w:rPr>
        <w:t>provides a sampling of</w:t>
      </w:r>
      <w:r w:rsidR="00511F23" w:rsidRPr="006A7556">
        <w:rPr>
          <w:sz w:val="24"/>
          <w:szCs w:val="24"/>
        </w:rPr>
        <w:t xml:space="preserve"> these </w:t>
      </w:r>
      <w:r w:rsidR="006A7556" w:rsidRPr="006A7556">
        <w:rPr>
          <w:sz w:val="24"/>
          <w:szCs w:val="24"/>
        </w:rPr>
        <w:t>“L</w:t>
      </w:r>
      <w:r w:rsidR="00511F23" w:rsidRPr="006A7556">
        <w:rPr>
          <w:sz w:val="24"/>
          <w:szCs w:val="24"/>
        </w:rPr>
        <w:t xml:space="preserve">earning </w:t>
      </w:r>
      <w:r w:rsidR="006A7556" w:rsidRPr="006A7556">
        <w:rPr>
          <w:sz w:val="24"/>
          <w:szCs w:val="24"/>
        </w:rPr>
        <w:t>P</w:t>
      </w:r>
      <w:r w:rsidR="00511F23" w:rsidRPr="006A7556">
        <w:rPr>
          <w:sz w:val="24"/>
          <w:szCs w:val="24"/>
        </w:rPr>
        <w:t>aradigm</w:t>
      </w:r>
      <w:r w:rsidR="006A7556" w:rsidRPr="006A7556">
        <w:rPr>
          <w:sz w:val="24"/>
          <w:szCs w:val="24"/>
        </w:rPr>
        <w:t>”</w:t>
      </w:r>
      <w:r w:rsidR="00511F23" w:rsidRPr="006A7556">
        <w:rPr>
          <w:sz w:val="24"/>
          <w:szCs w:val="24"/>
        </w:rPr>
        <w:t xml:space="preserve"> shifts</w:t>
      </w:r>
      <w:r w:rsidR="007B5418">
        <w:rPr>
          <w:sz w:val="24"/>
          <w:szCs w:val="24"/>
        </w:rPr>
        <w:t xml:space="preserve"> </w:t>
      </w:r>
      <w:r w:rsidR="00511F23" w:rsidRPr="006A7556">
        <w:rPr>
          <w:sz w:val="24"/>
          <w:szCs w:val="24"/>
        </w:rPr>
        <w:t>a</w:t>
      </w:r>
      <w:r w:rsidR="007B5418">
        <w:rPr>
          <w:sz w:val="24"/>
          <w:szCs w:val="24"/>
        </w:rPr>
        <w:t xml:space="preserve">s </w:t>
      </w:r>
      <w:r w:rsidR="00C27356">
        <w:rPr>
          <w:sz w:val="24"/>
          <w:szCs w:val="24"/>
        </w:rPr>
        <w:t>paraphrased</w:t>
      </w:r>
      <w:r w:rsidR="007B5418">
        <w:rPr>
          <w:sz w:val="24"/>
          <w:szCs w:val="24"/>
        </w:rPr>
        <w:t xml:space="preserve"> from a</w:t>
      </w:r>
      <w:r w:rsidR="00511F23" w:rsidRPr="006A7556">
        <w:rPr>
          <w:sz w:val="24"/>
          <w:szCs w:val="24"/>
        </w:rPr>
        <w:t xml:space="preserve"> table</w:t>
      </w:r>
      <w:r w:rsidR="006A7556" w:rsidRPr="006A7556">
        <w:rPr>
          <w:sz w:val="24"/>
          <w:szCs w:val="24"/>
        </w:rPr>
        <w:t xml:space="preserve"> illustrated below:</w:t>
      </w:r>
      <w:r w:rsidR="00E01BF3">
        <w:rPr>
          <w:rStyle w:val="FootnoteReference"/>
          <w:sz w:val="24"/>
          <w:szCs w:val="24"/>
        </w:rPr>
        <w:footnoteReference w:id="6"/>
      </w:r>
    </w:p>
    <w:tbl>
      <w:tblPr>
        <w:tblStyle w:val="TableGrid"/>
        <w:tblW w:w="9738" w:type="dxa"/>
        <w:tblLook w:val="04A0" w:firstRow="1" w:lastRow="0" w:firstColumn="1" w:lastColumn="0" w:noHBand="0" w:noVBand="1"/>
      </w:tblPr>
      <w:tblGrid>
        <w:gridCol w:w="4788"/>
        <w:gridCol w:w="4950"/>
      </w:tblGrid>
      <w:tr w:rsidR="006A7556" w:rsidTr="006A7556">
        <w:tc>
          <w:tcPr>
            <w:tcW w:w="4788" w:type="dxa"/>
            <w:shd w:val="clear" w:color="auto" w:fill="000000" w:themeFill="text1"/>
          </w:tcPr>
          <w:p w:rsidR="006A7556" w:rsidRPr="006A7556" w:rsidRDefault="006A7556" w:rsidP="006A7556">
            <w:pPr>
              <w:ind w:right="-270"/>
              <w:jc w:val="center"/>
              <w:rPr>
                <w:b/>
                <w:sz w:val="32"/>
                <w:szCs w:val="32"/>
              </w:rPr>
            </w:pPr>
            <w:r w:rsidRPr="006A7556">
              <w:rPr>
                <w:b/>
                <w:sz w:val="32"/>
                <w:szCs w:val="32"/>
              </w:rPr>
              <w:t>20</w:t>
            </w:r>
            <w:r w:rsidRPr="006A7556">
              <w:rPr>
                <w:b/>
                <w:sz w:val="32"/>
                <w:szCs w:val="32"/>
                <w:vertAlign w:val="superscript"/>
              </w:rPr>
              <w:t>th</w:t>
            </w:r>
            <w:r w:rsidRPr="006A7556">
              <w:rPr>
                <w:b/>
                <w:sz w:val="32"/>
                <w:szCs w:val="32"/>
              </w:rPr>
              <w:t xml:space="preserve"> Century</w:t>
            </w:r>
          </w:p>
        </w:tc>
        <w:tc>
          <w:tcPr>
            <w:tcW w:w="4950" w:type="dxa"/>
            <w:shd w:val="clear" w:color="auto" w:fill="000000" w:themeFill="text1"/>
          </w:tcPr>
          <w:p w:rsidR="006A7556" w:rsidRPr="006A7556" w:rsidRDefault="006A7556" w:rsidP="006A7556">
            <w:pPr>
              <w:ind w:right="-270"/>
              <w:jc w:val="center"/>
              <w:rPr>
                <w:b/>
                <w:sz w:val="32"/>
                <w:szCs w:val="32"/>
              </w:rPr>
            </w:pPr>
            <w:r w:rsidRPr="006A7556">
              <w:rPr>
                <w:b/>
                <w:sz w:val="32"/>
                <w:szCs w:val="32"/>
              </w:rPr>
              <w:t>21</w:t>
            </w:r>
            <w:r w:rsidRPr="006A7556">
              <w:rPr>
                <w:b/>
                <w:sz w:val="32"/>
                <w:szCs w:val="32"/>
                <w:vertAlign w:val="superscript"/>
              </w:rPr>
              <w:t>st</w:t>
            </w:r>
            <w:r w:rsidRPr="006A7556">
              <w:rPr>
                <w:b/>
                <w:sz w:val="32"/>
                <w:szCs w:val="32"/>
              </w:rPr>
              <w:t xml:space="preserve"> Century</w:t>
            </w:r>
          </w:p>
        </w:tc>
      </w:tr>
      <w:tr w:rsidR="006A7556" w:rsidTr="006A7556">
        <w:tc>
          <w:tcPr>
            <w:tcW w:w="4788" w:type="dxa"/>
          </w:tcPr>
          <w:p w:rsidR="006A7556" w:rsidRPr="006A7556" w:rsidRDefault="006A7556" w:rsidP="006A7556">
            <w:pPr>
              <w:ind w:right="-270"/>
              <w:rPr>
                <w:sz w:val="24"/>
                <w:szCs w:val="24"/>
              </w:rPr>
            </w:pPr>
            <w:r w:rsidRPr="006A7556">
              <w:rPr>
                <w:sz w:val="24"/>
                <w:szCs w:val="24"/>
              </w:rPr>
              <w:t>Memorize</w:t>
            </w:r>
          </w:p>
        </w:tc>
        <w:tc>
          <w:tcPr>
            <w:tcW w:w="4950" w:type="dxa"/>
          </w:tcPr>
          <w:p w:rsidR="006A7556" w:rsidRPr="006A7556" w:rsidRDefault="006A7556" w:rsidP="006A7556">
            <w:pPr>
              <w:ind w:right="-270"/>
              <w:rPr>
                <w:sz w:val="24"/>
                <w:szCs w:val="24"/>
              </w:rPr>
            </w:pPr>
            <w:r w:rsidRPr="006A7556">
              <w:rPr>
                <w:sz w:val="24"/>
                <w:szCs w:val="24"/>
              </w:rPr>
              <w:t>Know, think, do</w:t>
            </w:r>
          </w:p>
        </w:tc>
      </w:tr>
      <w:tr w:rsidR="006A7556" w:rsidTr="006A7556">
        <w:tc>
          <w:tcPr>
            <w:tcW w:w="4788" w:type="dxa"/>
          </w:tcPr>
          <w:p w:rsidR="006A7556" w:rsidRPr="006A7556" w:rsidRDefault="006A7556" w:rsidP="006A7556">
            <w:pPr>
              <w:ind w:right="-270"/>
              <w:rPr>
                <w:sz w:val="24"/>
                <w:szCs w:val="24"/>
              </w:rPr>
            </w:pPr>
            <w:r w:rsidRPr="006A7556">
              <w:rPr>
                <w:sz w:val="24"/>
                <w:szCs w:val="24"/>
              </w:rPr>
              <w:t>Textbook</w:t>
            </w:r>
          </w:p>
        </w:tc>
        <w:tc>
          <w:tcPr>
            <w:tcW w:w="4950" w:type="dxa"/>
          </w:tcPr>
          <w:p w:rsidR="006A7556" w:rsidRPr="006A7556" w:rsidRDefault="006A7556" w:rsidP="006A7556">
            <w:pPr>
              <w:ind w:right="-270"/>
              <w:rPr>
                <w:sz w:val="24"/>
                <w:szCs w:val="24"/>
              </w:rPr>
            </w:pPr>
            <w:r w:rsidRPr="006A7556">
              <w:rPr>
                <w:sz w:val="24"/>
                <w:szCs w:val="24"/>
              </w:rPr>
              <w:t>Research</w:t>
            </w:r>
          </w:p>
        </w:tc>
      </w:tr>
      <w:tr w:rsidR="006A7556" w:rsidTr="006A7556">
        <w:tc>
          <w:tcPr>
            <w:tcW w:w="4788" w:type="dxa"/>
          </w:tcPr>
          <w:p w:rsidR="006A7556" w:rsidRPr="006A7556" w:rsidRDefault="006A7556" w:rsidP="006A7556">
            <w:pPr>
              <w:ind w:right="-270"/>
              <w:rPr>
                <w:sz w:val="24"/>
                <w:szCs w:val="24"/>
              </w:rPr>
            </w:pPr>
            <w:r w:rsidRPr="006A7556">
              <w:rPr>
                <w:sz w:val="24"/>
                <w:szCs w:val="24"/>
              </w:rPr>
              <w:t>Passive</w:t>
            </w:r>
          </w:p>
        </w:tc>
        <w:tc>
          <w:tcPr>
            <w:tcW w:w="4950" w:type="dxa"/>
          </w:tcPr>
          <w:p w:rsidR="006A7556" w:rsidRPr="006A7556" w:rsidRDefault="006A7556" w:rsidP="006A7556">
            <w:pPr>
              <w:ind w:right="-270"/>
              <w:rPr>
                <w:sz w:val="24"/>
                <w:szCs w:val="24"/>
              </w:rPr>
            </w:pPr>
            <w:r w:rsidRPr="006A7556">
              <w:rPr>
                <w:sz w:val="24"/>
                <w:szCs w:val="24"/>
              </w:rPr>
              <w:t>Active</w:t>
            </w:r>
          </w:p>
        </w:tc>
      </w:tr>
      <w:tr w:rsidR="006A7556" w:rsidTr="006A7556">
        <w:tc>
          <w:tcPr>
            <w:tcW w:w="4788" w:type="dxa"/>
          </w:tcPr>
          <w:p w:rsidR="006A7556" w:rsidRPr="006A7556" w:rsidRDefault="006A7556" w:rsidP="006A7556">
            <w:pPr>
              <w:ind w:right="-270"/>
              <w:rPr>
                <w:sz w:val="24"/>
                <w:szCs w:val="24"/>
              </w:rPr>
            </w:pPr>
            <w:r w:rsidRPr="006A7556">
              <w:rPr>
                <w:sz w:val="24"/>
                <w:szCs w:val="24"/>
              </w:rPr>
              <w:t>Work alone</w:t>
            </w:r>
          </w:p>
        </w:tc>
        <w:tc>
          <w:tcPr>
            <w:tcW w:w="4950" w:type="dxa"/>
          </w:tcPr>
          <w:p w:rsidR="006A7556" w:rsidRPr="006A7556" w:rsidRDefault="006A7556" w:rsidP="006A7556">
            <w:pPr>
              <w:ind w:right="-270"/>
              <w:rPr>
                <w:sz w:val="24"/>
                <w:szCs w:val="24"/>
              </w:rPr>
            </w:pPr>
            <w:r w:rsidRPr="006A7556">
              <w:rPr>
                <w:sz w:val="24"/>
                <w:szCs w:val="24"/>
              </w:rPr>
              <w:t>Work with others</w:t>
            </w:r>
          </w:p>
        </w:tc>
      </w:tr>
      <w:tr w:rsidR="006A7556" w:rsidTr="006A7556">
        <w:tc>
          <w:tcPr>
            <w:tcW w:w="4788" w:type="dxa"/>
          </w:tcPr>
          <w:p w:rsidR="006A7556" w:rsidRPr="006A7556" w:rsidRDefault="006A7556" w:rsidP="006A7556">
            <w:pPr>
              <w:ind w:right="-270"/>
              <w:rPr>
                <w:sz w:val="24"/>
                <w:szCs w:val="24"/>
              </w:rPr>
            </w:pPr>
            <w:r w:rsidRPr="006A7556">
              <w:rPr>
                <w:sz w:val="24"/>
                <w:szCs w:val="24"/>
              </w:rPr>
              <w:t>Teacher centered</w:t>
            </w:r>
          </w:p>
        </w:tc>
        <w:tc>
          <w:tcPr>
            <w:tcW w:w="4950" w:type="dxa"/>
          </w:tcPr>
          <w:p w:rsidR="006A7556" w:rsidRPr="006A7556" w:rsidRDefault="006A7556" w:rsidP="006A7556">
            <w:pPr>
              <w:ind w:right="-270"/>
              <w:rPr>
                <w:sz w:val="24"/>
                <w:szCs w:val="24"/>
              </w:rPr>
            </w:pPr>
            <w:r w:rsidRPr="006A7556">
              <w:rPr>
                <w:sz w:val="24"/>
                <w:szCs w:val="24"/>
              </w:rPr>
              <w:t>Student centered</w:t>
            </w:r>
          </w:p>
        </w:tc>
      </w:tr>
      <w:tr w:rsidR="006A7556" w:rsidTr="006A7556">
        <w:tc>
          <w:tcPr>
            <w:tcW w:w="4788" w:type="dxa"/>
          </w:tcPr>
          <w:p w:rsidR="006A7556" w:rsidRPr="006A7556" w:rsidRDefault="006A7556" w:rsidP="006A7556">
            <w:pPr>
              <w:ind w:right="-270"/>
              <w:rPr>
                <w:sz w:val="24"/>
                <w:szCs w:val="24"/>
              </w:rPr>
            </w:pPr>
            <w:proofErr w:type="spellStart"/>
            <w:r w:rsidRPr="006A7556">
              <w:rPr>
                <w:sz w:val="24"/>
                <w:szCs w:val="24"/>
              </w:rPr>
              <w:t>Siloed</w:t>
            </w:r>
            <w:proofErr w:type="spellEnd"/>
            <w:r w:rsidRPr="006A7556">
              <w:rPr>
                <w:sz w:val="24"/>
                <w:szCs w:val="24"/>
              </w:rPr>
              <w:t xml:space="preserve"> curriculum</w:t>
            </w:r>
          </w:p>
        </w:tc>
        <w:tc>
          <w:tcPr>
            <w:tcW w:w="4950" w:type="dxa"/>
          </w:tcPr>
          <w:p w:rsidR="006A7556" w:rsidRPr="006A7556" w:rsidRDefault="006A7556" w:rsidP="006A7556">
            <w:pPr>
              <w:ind w:right="-270"/>
              <w:rPr>
                <w:sz w:val="24"/>
                <w:szCs w:val="24"/>
              </w:rPr>
            </w:pPr>
            <w:r w:rsidRPr="006A7556">
              <w:rPr>
                <w:sz w:val="24"/>
                <w:szCs w:val="24"/>
              </w:rPr>
              <w:t>Integrated curriculum</w:t>
            </w:r>
          </w:p>
        </w:tc>
      </w:tr>
      <w:tr w:rsidR="006A7556" w:rsidTr="006A7556">
        <w:tc>
          <w:tcPr>
            <w:tcW w:w="4788" w:type="dxa"/>
          </w:tcPr>
          <w:p w:rsidR="006A7556" w:rsidRPr="006A7556" w:rsidRDefault="006A7556" w:rsidP="006A7556">
            <w:pPr>
              <w:ind w:right="-270"/>
              <w:rPr>
                <w:sz w:val="24"/>
                <w:szCs w:val="24"/>
              </w:rPr>
            </w:pPr>
            <w:r w:rsidRPr="006A7556">
              <w:rPr>
                <w:sz w:val="24"/>
                <w:szCs w:val="24"/>
              </w:rPr>
              <w:t>Evaluation by teacher</w:t>
            </w:r>
          </w:p>
        </w:tc>
        <w:tc>
          <w:tcPr>
            <w:tcW w:w="4950" w:type="dxa"/>
          </w:tcPr>
          <w:p w:rsidR="006A7556" w:rsidRPr="006A7556" w:rsidRDefault="006A7556" w:rsidP="006A7556">
            <w:pPr>
              <w:ind w:right="-270"/>
              <w:rPr>
                <w:sz w:val="24"/>
                <w:szCs w:val="24"/>
              </w:rPr>
            </w:pPr>
            <w:r w:rsidRPr="006A7556">
              <w:rPr>
                <w:sz w:val="24"/>
                <w:szCs w:val="24"/>
              </w:rPr>
              <w:t>Evaluation by self, peer, “real world”</w:t>
            </w:r>
          </w:p>
        </w:tc>
      </w:tr>
    </w:tbl>
    <w:p w:rsidR="006A7556" w:rsidRDefault="006A7556" w:rsidP="006A7556">
      <w:pPr>
        <w:spacing w:line="240" w:lineRule="auto"/>
        <w:ind w:right="-270"/>
        <w:rPr>
          <w:sz w:val="20"/>
          <w:szCs w:val="20"/>
        </w:rPr>
      </w:pPr>
      <w:r w:rsidRPr="006A7556">
        <w:rPr>
          <w:sz w:val="20"/>
          <w:szCs w:val="20"/>
        </w:rPr>
        <w:t>Sources:  Joanne M. L. Glenn (NBEA Consultant</w:t>
      </w:r>
      <w:r w:rsidR="00E01BF3">
        <w:rPr>
          <w:sz w:val="20"/>
          <w:szCs w:val="20"/>
        </w:rPr>
        <w:t>)</w:t>
      </w:r>
      <w:r w:rsidRPr="006A7556">
        <w:rPr>
          <w:sz w:val="20"/>
          <w:szCs w:val="20"/>
        </w:rPr>
        <w:t xml:space="preserve">; Eve Lewis (South-Western </w:t>
      </w:r>
      <w:proofErr w:type="spellStart"/>
      <w:r w:rsidRPr="006A7556">
        <w:rPr>
          <w:sz w:val="20"/>
          <w:szCs w:val="20"/>
        </w:rPr>
        <w:t>Cengage</w:t>
      </w:r>
      <w:proofErr w:type="spellEnd"/>
      <w:r w:rsidRPr="006A7556">
        <w:rPr>
          <w:sz w:val="20"/>
          <w:szCs w:val="20"/>
        </w:rPr>
        <w:t xml:space="preserve"> Learning); Tim </w:t>
      </w:r>
      <w:proofErr w:type="spellStart"/>
      <w:r w:rsidRPr="006A7556">
        <w:rPr>
          <w:sz w:val="20"/>
          <w:szCs w:val="20"/>
        </w:rPr>
        <w:t>Magner</w:t>
      </w:r>
      <w:proofErr w:type="spellEnd"/>
      <w:r w:rsidRPr="006A7556">
        <w:rPr>
          <w:sz w:val="20"/>
          <w:szCs w:val="20"/>
        </w:rPr>
        <w:t xml:space="preserve"> (Partnership for 21</w:t>
      </w:r>
      <w:r w:rsidRPr="006A7556">
        <w:rPr>
          <w:sz w:val="20"/>
          <w:szCs w:val="20"/>
          <w:vertAlign w:val="superscript"/>
        </w:rPr>
        <w:t>st</w:t>
      </w:r>
      <w:r w:rsidRPr="006A7556">
        <w:rPr>
          <w:sz w:val="20"/>
          <w:szCs w:val="20"/>
        </w:rPr>
        <w:t xml:space="preserve"> Century Skills); Connie Forde, (Mississippi State University); Camille Preston (Aim Leadership LLC).</w:t>
      </w:r>
    </w:p>
    <w:p w:rsidR="00495F79" w:rsidRDefault="007B5418" w:rsidP="006A7556">
      <w:pPr>
        <w:spacing w:line="240" w:lineRule="auto"/>
        <w:ind w:right="-270"/>
        <w:rPr>
          <w:sz w:val="24"/>
          <w:szCs w:val="24"/>
        </w:rPr>
      </w:pPr>
      <w:r>
        <w:rPr>
          <w:sz w:val="24"/>
          <w:szCs w:val="24"/>
        </w:rPr>
        <w:tab/>
        <w:t>Instructional methodology must</w:t>
      </w:r>
      <w:r w:rsidR="00C27356">
        <w:rPr>
          <w:sz w:val="24"/>
          <w:szCs w:val="24"/>
        </w:rPr>
        <w:t>,</w:t>
      </w:r>
      <w:r>
        <w:rPr>
          <w:sz w:val="24"/>
          <w:szCs w:val="24"/>
        </w:rPr>
        <w:t xml:space="preserve"> therefore</w:t>
      </w:r>
      <w:r w:rsidR="00C27356">
        <w:rPr>
          <w:sz w:val="24"/>
          <w:szCs w:val="24"/>
        </w:rPr>
        <w:t>,</w:t>
      </w:r>
      <w:r>
        <w:rPr>
          <w:sz w:val="24"/>
          <w:szCs w:val="24"/>
        </w:rPr>
        <w:t xml:space="preserve"> change in order to better meet the needs of our rapidly changing economy.  We will not only require knowledge managers but knowledge workers who both </w:t>
      </w:r>
      <w:r w:rsidR="00495F79">
        <w:rPr>
          <w:sz w:val="24"/>
          <w:szCs w:val="24"/>
        </w:rPr>
        <w:t>function actively</w:t>
      </w:r>
      <w:r>
        <w:rPr>
          <w:sz w:val="24"/>
          <w:szCs w:val="24"/>
        </w:rPr>
        <w:t xml:space="preserve"> in this era of perpetual change</w:t>
      </w:r>
      <w:r w:rsidR="00495F79">
        <w:rPr>
          <w:sz w:val="24"/>
          <w:szCs w:val="24"/>
        </w:rPr>
        <w:t xml:space="preserve"> and </w:t>
      </w:r>
      <w:r>
        <w:rPr>
          <w:sz w:val="24"/>
          <w:szCs w:val="24"/>
        </w:rPr>
        <w:t>continued acceleration of knowledge.  Business</w:t>
      </w:r>
      <w:r w:rsidR="00495F79">
        <w:rPr>
          <w:sz w:val="24"/>
          <w:szCs w:val="24"/>
        </w:rPr>
        <w:t>es</w:t>
      </w:r>
      <w:r>
        <w:rPr>
          <w:sz w:val="24"/>
          <w:szCs w:val="24"/>
        </w:rPr>
        <w:t xml:space="preserve"> are </w:t>
      </w:r>
      <w:r w:rsidRPr="00495F79">
        <w:rPr>
          <w:i/>
          <w:sz w:val="24"/>
          <w:szCs w:val="24"/>
        </w:rPr>
        <w:t>decreasingly</w:t>
      </w:r>
      <w:r>
        <w:rPr>
          <w:sz w:val="24"/>
          <w:szCs w:val="24"/>
        </w:rPr>
        <w:t xml:space="preserve"> </w:t>
      </w:r>
      <w:r w:rsidR="00E01BF3">
        <w:rPr>
          <w:sz w:val="24"/>
          <w:szCs w:val="24"/>
        </w:rPr>
        <w:t>accepting of</w:t>
      </w:r>
      <w:r>
        <w:rPr>
          <w:sz w:val="24"/>
          <w:szCs w:val="24"/>
        </w:rPr>
        <w:t xml:space="preserve"> this role.  The common worker must be encouraged to maintain a sense of curiosity about areas </w:t>
      </w:r>
      <w:r w:rsidR="001C5417">
        <w:rPr>
          <w:sz w:val="24"/>
          <w:szCs w:val="24"/>
        </w:rPr>
        <w:t>where his/her</w:t>
      </w:r>
      <w:r>
        <w:rPr>
          <w:sz w:val="24"/>
          <w:szCs w:val="24"/>
        </w:rPr>
        <w:t xml:space="preserve"> career </w:t>
      </w:r>
      <w:r w:rsidR="001C5417">
        <w:rPr>
          <w:sz w:val="24"/>
          <w:szCs w:val="24"/>
        </w:rPr>
        <w:t xml:space="preserve">is changing—or be at risk of losing his job.  In order to be more competitive, businesses are continually hiring contract or temporary </w:t>
      </w:r>
      <w:proofErr w:type="gramStart"/>
      <w:r w:rsidR="001C5417">
        <w:rPr>
          <w:sz w:val="24"/>
          <w:szCs w:val="24"/>
        </w:rPr>
        <w:t>workers</w:t>
      </w:r>
      <w:proofErr w:type="gramEnd"/>
      <w:r w:rsidR="001C5417">
        <w:rPr>
          <w:sz w:val="24"/>
          <w:szCs w:val="24"/>
        </w:rPr>
        <w:t xml:space="preserve"> whom they do not have to train or re-train to any significant extent, thus reducing</w:t>
      </w:r>
      <w:r w:rsidR="00495F79">
        <w:rPr>
          <w:sz w:val="24"/>
          <w:szCs w:val="24"/>
        </w:rPr>
        <w:t xml:space="preserve"> company training</w:t>
      </w:r>
      <w:r w:rsidR="001C5417">
        <w:rPr>
          <w:sz w:val="24"/>
          <w:szCs w:val="24"/>
        </w:rPr>
        <w:t xml:space="preserve"> expenses.  </w:t>
      </w:r>
    </w:p>
    <w:p w:rsidR="007B5418" w:rsidRDefault="001C5417" w:rsidP="00495F79">
      <w:pPr>
        <w:spacing w:line="240" w:lineRule="auto"/>
        <w:ind w:right="-270" w:firstLine="720"/>
        <w:rPr>
          <w:sz w:val="24"/>
          <w:szCs w:val="24"/>
        </w:rPr>
      </w:pPr>
      <w:r>
        <w:rPr>
          <w:sz w:val="24"/>
          <w:szCs w:val="24"/>
        </w:rPr>
        <w:lastRenderedPageBreak/>
        <w:t>Changing viewpoints in workforce development reflects the new 21</w:t>
      </w:r>
      <w:r w:rsidRPr="001C5417">
        <w:rPr>
          <w:sz w:val="24"/>
          <w:szCs w:val="24"/>
          <w:vertAlign w:val="superscript"/>
        </w:rPr>
        <w:t>st</w:t>
      </w:r>
      <w:r>
        <w:rPr>
          <w:sz w:val="24"/>
          <w:szCs w:val="24"/>
        </w:rPr>
        <w:t xml:space="preserve"> Century Skill set.  The N</w:t>
      </w:r>
      <w:r w:rsidR="003D7E37">
        <w:rPr>
          <w:sz w:val="24"/>
          <w:szCs w:val="24"/>
        </w:rPr>
        <w:t xml:space="preserve">ational </w:t>
      </w:r>
      <w:r>
        <w:rPr>
          <w:sz w:val="24"/>
          <w:szCs w:val="24"/>
        </w:rPr>
        <w:t>S</w:t>
      </w:r>
      <w:r w:rsidR="003D7E37">
        <w:rPr>
          <w:sz w:val="24"/>
          <w:szCs w:val="24"/>
        </w:rPr>
        <w:t xml:space="preserve">chool </w:t>
      </w:r>
      <w:r>
        <w:rPr>
          <w:sz w:val="24"/>
          <w:szCs w:val="24"/>
        </w:rPr>
        <w:t>B</w:t>
      </w:r>
      <w:r w:rsidR="003D7E37">
        <w:rPr>
          <w:sz w:val="24"/>
          <w:szCs w:val="24"/>
        </w:rPr>
        <w:t xml:space="preserve">oard </w:t>
      </w:r>
      <w:r>
        <w:rPr>
          <w:sz w:val="24"/>
          <w:szCs w:val="24"/>
        </w:rPr>
        <w:t>A</w:t>
      </w:r>
      <w:r w:rsidR="003D7E37">
        <w:rPr>
          <w:sz w:val="24"/>
          <w:szCs w:val="24"/>
        </w:rPr>
        <w:t>ssociation</w:t>
      </w:r>
      <w:r>
        <w:rPr>
          <w:sz w:val="24"/>
          <w:szCs w:val="24"/>
        </w:rPr>
        <w:t xml:space="preserve"> </w:t>
      </w:r>
      <w:r w:rsidR="00D70E14">
        <w:rPr>
          <w:sz w:val="24"/>
          <w:szCs w:val="24"/>
        </w:rPr>
        <w:t xml:space="preserve">provides a sampling of these changes through its website toolkit (NSBA, 2012).  </w:t>
      </w:r>
      <w:r>
        <w:rPr>
          <w:sz w:val="24"/>
          <w:szCs w:val="24"/>
        </w:rPr>
        <w:t xml:space="preserve">  </w:t>
      </w:r>
    </w:p>
    <w:p w:rsidR="00D70E14" w:rsidRDefault="00D70E14" w:rsidP="006A7556">
      <w:pPr>
        <w:spacing w:line="240" w:lineRule="auto"/>
        <w:ind w:right="-270"/>
        <w:rPr>
          <w:sz w:val="24"/>
          <w:szCs w:val="24"/>
        </w:rPr>
      </w:pPr>
    </w:p>
    <w:tbl>
      <w:tblPr>
        <w:tblStyle w:val="TableGrid"/>
        <w:tblW w:w="9738" w:type="dxa"/>
        <w:tblLook w:val="04A0" w:firstRow="1" w:lastRow="0" w:firstColumn="1" w:lastColumn="0" w:noHBand="0" w:noVBand="1"/>
      </w:tblPr>
      <w:tblGrid>
        <w:gridCol w:w="4788"/>
        <w:gridCol w:w="4950"/>
      </w:tblGrid>
      <w:tr w:rsidR="00D70E14" w:rsidTr="0052270D">
        <w:tc>
          <w:tcPr>
            <w:tcW w:w="4788" w:type="dxa"/>
            <w:shd w:val="clear" w:color="auto" w:fill="000000" w:themeFill="text1"/>
          </w:tcPr>
          <w:p w:rsidR="00D70E14" w:rsidRPr="006A7556" w:rsidRDefault="00D70E14" w:rsidP="00AF0BA7">
            <w:pPr>
              <w:ind w:right="-270"/>
              <w:rPr>
                <w:b/>
                <w:sz w:val="32"/>
                <w:szCs w:val="32"/>
              </w:rPr>
            </w:pPr>
            <w:r>
              <w:rPr>
                <w:b/>
                <w:sz w:val="32"/>
                <w:szCs w:val="32"/>
              </w:rPr>
              <w:t>From:</w:t>
            </w:r>
          </w:p>
        </w:tc>
        <w:tc>
          <w:tcPr>
            <w:tcW w:w="4950" w:type="dxa"/>
            <w:shd w:val="clear" w:color="auto" w:fill="000000" w:themeFill="text1"/>
          </w:tcPr>
          <w:p w:rsidR="00D70E14" w:rsidRPr="006A7556" w:rsidRDefault="00D70E14" w:rsidP="00AF0BA7">
            <w:pPr>
              <w:ind w:right="-270"/>
              <w:rPr>
                <w:b/>
                <w:sz w:val="32"/>
                <w:szCs w:val="32"/>
              </w:rPr>
            </w:pPr>
            <w:r>
              <w:rPr>
                <w:b/>
                <w:sz w:val="32"/>
                <w:szCs w:val="32"/>
              </w:rPr>
              <w:t>To:</w:t>
            </w:r>
          </w:p>
        </w:tc>
      </w:tr>
      <w:tr w:rsidR="00D70E14" w:rsidTr="0052270D">
        <w:tc>
          <w:tcPr>
            <w:tcW w:w="4788" w:type="dxa"/>
          </w:tcPr>
          <w:p w:rsidR="00D70E14" w:rsidRPr="006A7556" w:rsidRDefault="00D70E14" w:rsidP="0052270D">
            <w:pPr>
              <w:ind w:right="-270"/>
              <w:rPr>
                <w:sz w:val="24"/>
                <w:szCs w:val="24"/>
              </w:rPr>
            </w:pPr>
            <w:r>
              <w:rPr>
                <w:sz w:val="24"/>
                <w:szCs w:val="24"/>
              </w:rPr>
              <w:t>Competition</w:t>
            </w:r>
          </w:p>
        </w:tc>
        <w:tc>
          <w:tcPr>
            <w:tcW w:w="4950" w:type="dxa"/>
          </w:tcPr>
          <w:p w:rsidR="00D70E14" w:rsidRPr="006A7556" w:rsidRDefault="00D70E14" w:rsidP="0052270D">
            <w:pPr>
              <w:ind w:right="-270"/>
              <w:rPr>
                <w:sz w:val="24"/>
                <w:szCs w:val="24"/>
              </w:rPr>
            </w:pPr>
            <w:r>
              <w:rPr>
                <w:sz w:val="24"/>
                <w:szCs w:val="24"/>
              </w:rPr>
              <w:t>Collaboration</w:t>
            </w:r>
          </w:p>
        </w:tc>
      </w:tr>
      <w:tr w:rsidR="00D70E14" w:rsidTr="0052270D">
        <w:tc>
          <w:tcPr>
            <w:tcW w:w="4788" w:type="dxa"/>
          </w:tcPr>
          <w:p w:rsidR="00D70E14" w:rsidRPr="006A7556" w:rsidRDefault="00D70E14" w:rsidP="0052270D">
            <w:pPr>
              <w:ind w:right="-270"/>
              <w:rPr>
                <w:sz w:val="24"/>
                <w:szCs w:val="24"/>
              </w:rPr>
            </w:pPr>
            <w:r>
              <w:rPr>
                <w:sz w:val="24"/>
                <w:szCs w:val="24"/>
              </w:rPr>
              <w:t>Win/Lose Conflict</w:t>
            </w:r>
          </w:p>
        </w:tc>
        <w:tc>
          <w:tcPr>
            <w:tcW w:w="4950" w:type="dxa"/>
          </w:tcPr>
          <w:p w:rsidR="00D70E14" w:rsidRPr="006A7556" w:rsidRDefault="00D70E14" w:rsidP="0052270D">
            <w:pPr>
              <w:ind w:right="-270"/>
              <w:rPr>
                <w:sz w:val="24"/>
                <w:szCs w:val="24"/>
              </w:rPr>
            </w:pPr>
            <w:r>
              <w:rPr>
                <w:sz w:val="24"/>
                <w:szCs w:val="24"/>
              </w:rPr>
              <w:t>Win/win conflict</w:t>
            </w:r>
          </w:p>
        </w:tc>
      </w:tr>
      <w:tr w:rsidR="00D70E14" w:rsidTr="0052270D">
        <w:tc>
          <w:tcPr>
            <w:tcW w:w="4788" w:type="dxa"/>
          </w:tcPr>
          <w:p w:rsidR="00D70E14" w:rsidRPr="006A7556" w:rsidRDefault="00D70E14" w:rsidP="0052270D">
            <w:pPr>
              <w:ind w:right="-270"/>
              <w:rPr>
                <w:sz w:val="24"/>
                <w:szCs w:val="24"/>
              </w:rPr>
            </w:pPr>
            <w:r>
              <w:rPr>
                <w:sz w:val="24"/>
                <w:szCs w:val="24"/>
              </w:rPr>
              <w:t>Destructive (fighting)</w:t>
            </w:r>
          </w:p>
        </w:tc>
        <w:tc>
          <w:tcPr>
            <w:tcW w:w="4950" w:type="dxa"/>
          </w:tcPr>
          <w:p w:rsidR="00D70E14" w:rsidRPr="006A7556" w:rsidRDefault="00D70E14" w:rsidP="0052270D">
            <w:pPr>
              <w:ind w:right="-270"/>
              <w:rPr>
                <w:sz w:val="24"/>
                <w:szCs w:val="24"/>
              </w:rPr>
            </w:pPr>
            <w:r>
              <w:rPr>
                <w:sz w:val="24"/>
                <w:szCs w:val="24"/>
              </w:rPr>
              <w:t>Constructive (helping)</w:t>
            </w:r>
          </w:p>
        </w:tc>
      </w:tr>
      <w:tr w:rsidR="00D70E14" w:rsidTr="0052270D">
        <w:tc>
          <w:tcPr>
            <w:tcW w:w="4788" w:type="dxa"/>
          </w:tcPr>
          <w:p w:rsidR="00D70E14" w:rsidRPr="006A7556" w:rsidRDefault="00D70E14" w:rsidP="0052270D">
            <w:pPr>
              <w:ind w:right="-270"/>
              <w:rPr>
                <w:sz w:val="24"/>
                <w:szCs w:val="24"/>
              </w:rPr>
            </w:pPr>
            <w:r>
              <w:rPr>
                <w:sz w:val="24"/>
                <w:szCs w:val="24"/>
              </w:rPr>
              <w:t>One-sided</w:t>
            </w:r>
          </w:p>
        </w:tc>
        <w:tc>
          <w:tcPr>
            <w:tcW w:w="4950" w:type="dxa"/>
          </w:tcPr>
          <w:p w:rsidR="00D70E14" w:rsidRPr="006A7556" w:rsidRDefault="00D70E14" w:rsidP="0052270D">
            <w:pPr>
              <w:ind w:right="-270"/>
              <w:rPr>
                <w:sz w:val="24"/>
                <w:szCs w:val="24"/>
              </w:rPr>
            </w:pPr>
            <w:r>
              <w:rPr>
                <w:sz w:val="24"/>
                <w:szCs w:val="24"/>
              </w:rPr>
              <w:t>Shared</w:t>
            </w:r>
          </w:p>
        </w:tc>
      </w:tr>
      <w:tr w:rsidR="00D70E14" w:rsidTr="0052270D">
        <w:tc>
          <w:tcPr>
            <w:tcW w:w="4788" w:type="dxa"/>
          </w:tcPr>
          <w:p w:rsidR="00D70E14" w:rsidRPr="006A7556" w:rsidRDefault="00D70E14" w:rsidP="0052270D">
            <w:pPr>
              <w:ind w:right="-270"/>
              <w:rPr>
                <w:sz w:val="24"/>
                <w:szCs w:val="24"/>
              </w:rPr>
            </w:pPr>
            <w:r>
              <w:rPr>
                <w:sz w:val="24"/>
                <w:szCs w:val="24"/>
              </w:rPr>
              <w:t>Rejecting others’ points of view</w:t>
            </w:r>
          </w:p>
        </w:tc>
        <w:tc>
          <w:tcPr>
            <w:tcW w:w="4950" w:type="dxa"/>
          </w:tcPr>
          <w:p w:rsidR="00D70E14" w:rsidRPr="006A7556" w:rsidRDefault="00D70E14" w:rsidP="0052270D">
            <w:pPr>
              <w:ind w:right="-270"/>
              <w:rPr>
                <w:sz w:val="24"/>
                <w:szCs w:val="24"/>
              </w:rPr>
            </w:pPr>
            <w:r>
              <w:rPr>
                <w:sz w:val="24"/>
                <w:szCs w:val="24"/>
              </w:rPr>
              <w:t>Accepting others’ points of view</w:t>
            </w:r>
          </w:p>
        </w:tc>
      </w:tr>
      <w:tr w:rsidR="00D70E14" w:rsidTr="0052270D">
        <w:tc>
          <w:tcPr>
            <w:tcW w:w="4788" w:type="dxa"/>
          </w:tcPr>
          <w:p w:rsidR="00D70E14" w:rsidRPr="006A7556" w:rsidRDefault="00D70E14" w:rsidP="0052270D">
            <w:pPr>
              <w:ind w:right="-270"/>
              <w:rPr>
                <w:sz w:val="24"/>
                <w:szCs w:val="24"/>
              </w:rPr>
            </w:pPr>
            <w:r>
              <w:rPr>
                <w:sz w:val="24"/>
                <w:szCs w:val="24"/>
              </w:rPr>
              <w:t>Others as enemies</w:t>
            </w:r>
          </w:p>
        </w:tc>
        <w:tc>
          <w:tcPr>
            <w:tcW w:w="4950" w:type="dxa"/>
          </w:tcPr>
          <w:p w:rsidR="00D70E14" w:rsidRPr="006A7556" w:rsidRDefault="00D70E14" w:rsidP="0052270D">
            <w:pPr>
              <w:ind w:right="-270"/>
              <w:rPr>
                <w:sz w:val="24"/>
                <w:szCs w:val="24"/>
              </w:rPr>
            </w:pPr>
            <w:r>
              <w:rPr>
                <w:sz w:val="24"/>
                <w:szCs w:val="24"/>
              </w:rPr>
              <w:t>Others as colleagues</w:t>
            </w:r>
          </w:p>
        </w:tc>
      </w:tr>
      <w:tr w:rsidR="00D70E14" w:rsidTr="0052270D">
        <w:tc>
          <w:tcPr>
            <w:tcW w:w="4788" w:type="dxa"/>
          </w:tcPr>
          <w:p w:rsidR="00D70E14" w:rsidRPr="006A7556" w:rsidRDefault="00D70E14" w:rsidP="0052270D">
            <w:pPr>
              <w:ind w:right="-270"/>
              <w:rPr>
                <w:sz w:val="24"/>
                <w:szCs w:val="24"/>
              </w:rPr>
            </w:pPr>
            <w:r>
              <w:rPr>
                <w:sz w:val="24"/>
                <w:szCs w:val="24"/>
              </w:rPr>
              <w:t>Suspicion</w:t>
            </w:r>
          </w:p>
        </w:tc>
        <w:tc>
          <w:tcPr>
            <w:tcW w:w="4950" w:type="dxa"/>
          </w:tcPr>
          <w:p w:rsidR="00D70E14" w:rsidRPr="006A7556" w:rsidRDefault="00D70E14" w:rsidP="0052270D">
            <w:pPr>
              <w:ind w:right="-270"/>
              <w:rPr>
                <w:sz w:val="24"/>
                <w:szCs w:val="24"/>
              </w:rPr>
            </w:pPr>
            <w:r>
              <w:rPr>
                <w:sz w:val="24"/>
                <w:szCs w:val="24"/>
              </w:rPr>
              <w:t>Trust</w:t>
            </w:r>
          </w:p>
        </w:tc>
      </w:tr>
      <w:tr w:rsidR="00D70E14" w:rsidTr="0052270D">
        <w:tc>
          <w:tcPr>
            <w:tcW w:w="4788" w:type="dxa"/>
          </w:tcPr>
          <w:p w:rsidR="00D70E14" w:rsidRDefault="00D70E14" w:rsidP="0052270D">
            <w:pPr>
              <w:ind w:right="-270"/>
              <w:rPr>
                <w:sz w:val="24"/>
                <w:szCs w:val="24"/>
              </w:rPr>
            </w:pPr>
            <w:r>
              <w:rPr>
                <w:sz w:val="24"/>
                <w:szCs w:val="24"/>
              </w:rPr>
              <w:t>Commitment to self or group goals</w:t>
            </w:r>
          </w:p>
        </w:tc>
        <w:tc>
          <w:tcPr>
            <w:tcW w:w="4950" w:type="dxa"/>
          </w:tcPr>
          <w:p w:rsidR="00D70E14" w:rsidRDefault="00D70E14" w:rsidP="0052270D">
            <w:pPr>
              <w:ind w:right="-270"/>
              <w:rPr>
                <w:sz w:val="24"/>
                <w:szCs w:val="24"/>
              </w:rPr>
            </w:pPr>
            <w:r>
              <w:rPr>
                <w:sz w:val="24"/>
                <w:szCs w:val="24"/>
              </w:rPr>
              <w:t>Commitment to total organization goals</w:t>
            </w:r>
          </w:p>
        </w:tc>
      </w:tr>
    </w:tbl>
    <w:p w:rsidR="00D70E14" w:rsidRDefault="00D70E14" w:rsidP="006A7556">
      <w:pPr>
        <w:spacing w:line="240" w:lineRule="auto"/>
        <w:ind w:right="-270"/>
        <w:rPr>
          <w:sz w:val="24"/>
          <w:szCs w:val="24"/>
        </w:rPr>
      </w:pPr>
      <w:r>
        <w:rPr>
          <w:sz w:val="24"/>
          <w:szCs w:val="24"/>
        </w:rPr>
        <w:t xml:space="preserve">Source:  </w:t>
      </w:r>
      <w:hyperlink r:id="rId8" w:anchor="Organizational" w:history="1">
        <w:r w:rsidRPr="009B4F47">
          <w:rPr>
            <w:rStyle w:val="Hyperlink"/>
            <w:sz w:val="24"/>
            <w:szCs w:val="24"/>
          </w:rPr>
          <w:t>http://www.nsba.org/sbot/toolkit/chinv.html#Organizational</w:t>
        </w:r>
      </w:hyperlink>
    </w:p>
    <w:p w:rsidR="00D70E14" w:rsidRDefault="00D70E14" w:rsidP="006A7556">
      <w:pPr>
        <w:spacing w:line="240" w:lineRule="auto"/>
        <w:ind w:right="-270"/>
        <w:rPr>
          <w:sz w:val="24"/>
          <w:szCs w:val="24"/>
        </w:rPr>
      </w:pPr>
    </w:p>
    <w:p w:rsidR="00D70E14" w:rsidRDefault="00D70E14" w:rsidP="006A7556">
      <w:pPr>
        <w:spacing w:line="240" w:lineRule="auto"/>
        <w:ind w:right="-270"/>
        <w:rPr>
          <w:sz w:val="24"/>
          <w:szCs w:val="24"/>
        </w:rPr>
      </w:pPr>
      <w:r>
        <w:rPr>
          <w:sz w:val="24"/>
          <w:szCs w:val="24"/>
        </w:rPr>
        <w:tab/>
        <w:t xml:space="preserve">Technology can assist with the shift to “Knowledge Age” </w:t>
      </w:r>
      <w:r w:rsidR="00E738A1">
        <w:rPr>
          <w:sz w:val="24"/>
          <w:szCs w:val="24"/>
        </w:rPr>
        <w:t>s</w:t>
      </w:r>
      <w:r>
        <w:rPr>
          <w:sz w:val="24"/>
          <w:szCs w:val="24"/>
        </w:rPr>
        <w:t>kills.  As Cedric Price, renowned architect, is credited as saying, “Technology is the answer, but what was the question?”</w:t>
      </w:r>
      <w:r w:rsidR="00E738A1">
        <w:rPr>
          <w:rStyle w:val="FootnoteReference"/>
          <w:sz w:val="24"/>
          <w:szCs w:val="24"/>
        </w:rPr>
        <w:footnoteReference w:id="7"/>
      </w:r>
      <w:r>
        <w:rPr>
          <w:sz w:val="24"/>
          <w:szCs w:val="24"/>
        </w:rPr>
        <w:t xml:space="preserve"> </w:t>
      </w:r>
      <w:r w:rsidR="00AF0BA7">
        <w:rPr>
          <w:sz w:val="24"/>
          <w:szCs w:val="24"/>
        </w:rPr>
        <w:t>Business educators</w:t>
      </w:r>
      <w:r w:rsidR="00E738A1">
        <w:rPr>
          <w:sz w:val="24"/>
          <w:szCs w:val="24"/>
        </w:rPr>
        <w:t xml:space="preserve"> must look at ways that have </w:t>
      </w:r>
      <w:r w:rsidR="003D7E37">
        <w:rPr>
          <w:sz w:val="24"/>
          <w:szCs w:val="24"/>
        </w:rPr>
        <w:t xml:space="preserve">either </w:t>
      </w:r>
      <w:r w:rsidR="00E738A1">
        <w:rPr>
          <w:sz w:val="24"/>
          <w:szCs w:val="24"/>
        </w:rPr>
        <w:t xml:space="preserve">proved to be effective </w:t>
      </w:r>
      <w:r w:rsidR="00085C3D">
        <w:rPr>
          <w:sz w:val="24"/>
          <w:szCs w:val="24"/>
        </w:rPr>
        <w:t xml:space="preserve">by practice </w:t>
      </w:r>
      <w:r w:rsidR="00E738A1">
        <w:rPr>
          <w:sz w:val="24"/>
          <w:szCs w:val="24"/>
        </w:rPr>
        <w:t>or</w:t>
      </w:r>
      <w:r w:rsidR="00085C3D">
        <w:rPr>
          <w:sz w:val="24"/>
          <w:szCs w:val="24"/>
        </w:rPr>
        <w:t xml:space="preserve"> extensively</w:t>
      </w:r>
      <w:r w:rsidR="00E738A1">
        <w:rPr>
          <w:sz w:val="24"/>
          <w:szCs w:val="24"/>
        </w:rPr>
        <w:t xml:space="preserve"> research ways </w:t>
      </w:r>
      <w:r w:rsidR="00085C3D">
        <w:rPr>
          <w:sz w:val="24"/>
          <w:szCs w:val="24"/>
        </w:rPr>
        <w:t>that use</w:t>
      </w:r>
      <w:r w:rsidR="00E738A1">
        <w:rPr>
          <w:sz w:val="24"/>
          <w:szCs w:val="24"/>
        </w:rPr>
        <w:t xml:space="preserve"> primary data to assist in the process of training for these skills.</w:t>
      </w:r>
      <w:r w:rsidR="00085C3D">
        <w:rPr>
          <w:sz w:val="24"/>
          <w:szCs w:val="24"/>
        </w:rPr>
        <w:t xml:space="preserve">  </w:t>
      </w:r>
    </w:p>
    <w:p w:rsidR="00F81D05" w:rsidRDefault="00E738A1" w:rsidP="006A7556">
      <w:pPr>
        <w:spacing w:line="240" w:lineRule="auto"/>
        <w:ind w:right="-270"/>
        <w:rPr>
          <w:sz w:val="24"/>
          <w:szCs w:val="24"/>
        </w:rPr>
      </w:pPr>
      <w:r>
        <w:rPr>
          <w:sz w:val="24"/>
          <w:szCs w:val="24"/>
        </w:rPr>
        <w:tab/>
        <w:t>With changing societies and the altering economic re-structuring (BRICS—Brazil, Russia, India, and China)</w:t>
      </w:r>
      <w:r w:rsidR="00BB7DCF">
        <w:rPr>
          <w:sz w:val="24"/>
          <w:szCs w:val="24"/>
        </w:rPr>
        <w:t>,</w:t>
      </w:r>
      <w:r w:rsidR="00BE5229">
        <w:rPr>
          <w:sz w:val="24"/>
          <w:szCs w:val="24"/>
        </w:rPr>
        <w:t xml:space="preserve"> </w:t>
      </w:r>
      <w:r w:rsidR="00BB7DCF">
        <w:rPr>
          <w:sz w:val="24"/>
          <w:szCs w:val="24"/>
        </w:rPr>
        <w:t>t</w:t>
      </w:r>
      <w:r w:rsidR="00BE5229">
        <w:rPr>
          <w:sz w:val="24"/>
          <w:szCs w:val="24"/>
        </w:rPr>
        <w:t>echnology has played a major role in</w:t>
      </w:r>
      <w:r w:rsidR="00BB7DCF">
        <w:rPr>
          <w:sz w:val="24"/>
          <w:szCs w:val="24"/>
        </w:rPr>
        <w:t xml:space="preserve"> training for</w:t>
      </w:r>
      <w:r w:rsidR="00BE5229">
        <w:rPr>
          <w:sz w:val="24"/>
          <w:szCs w:val="24"/>
        </w:rPr>
        <w:t xml:space="preserve"> this growth.  Emerging economies </w:t>
      </w:r>
      <w:r w:rsidR="00927E07">
        <w:rPr>
          <w:sz w:val="24"/>
          <w:szCs w:val="24"/>
        </w:rPr>
        <w:t xml:space="preserve">such as </w:t>
      </w:r>
      <w:r w:rsidR="00BE5229">
        <w:rPr>
          <w:sz w:val="24"/>
          <w:szCs w:val="24"/>
        </w:rPr>
        <w:t xml:space="preserve">Turkey, Indonesia, South Africa, </w:t>
      </w:r>
      <w:r w:rsidR="00927E07">
        <w:rPr>
          <w:sz w:val="24"/>
          <w:szCs w:val="24"/>
        </w:rPr>
        <w:t xml:space="preserve">and </w:t>
      </w:r>
      <w:r w:rsidR="00BE5229">
        <w:rPr>
          <w:sz w:val="24"/>
          <w:szCs w:val="24"/>
        </w:rPr>
        <w:t>Nigeria have also grown considerably.  Methodology toward training the workforce of these economies is rapidly shifting to o</w:t>
      </w:r>
      <w:r w:rsidR="00085C3D">
        <w:rPr>
          <w:sz w:val="24"/>
          <w:szCs w:val="24"/>
        </w:rPr>
        <w:t>nline education models--</w:t>
      </w:r>
      <w:r w:rsidR="00E456DF">
        <w:rPr>
          <w:sz w:val="24"/>
          <w:szCs w:val="24"/>
        </w:rPr>
        <w:t xml:space="preserve">such as the Open University of the UK (1970s), followed by Open Education Resource movement, based on the idea that knowledge is a public “good” and technology could be used to share, use and reuse it.  (MIT’s </w:t>
      </w:r>
      <w:proofErr w:type="spellStart"/>
      <w:r w:rsidR="00E456DF">
        <w:rPr>
          <w:sz w:val="24"/>
          <w:szCs w:val="24"/>
        </w:rPr>
        <w:t>OpenCourseware</w:t>
      </w:r>
      <w:proofErr w:type="spellEnd"/>
      <w:r w:rsidR="00E456DF">
        <w:rPr>
          <w:sz w:val="24"/>
          <w:szCs w:val="24"/>
        </w:rPr>
        <w:t xml:space="preserve"> initiative, Rice University’s </w:t>
      </w:r>
      <w:proofErr w:type="spellStart"/>
      <w:r w:rsidR="00E456DF">
        <w:rPr>
          <w:sz w:val="24"/>
          <w:szCs w:val="24"/>
        </w:rPr>
        <w:t>Connexions</w:t>
      </w:r>
      <w:proofErr w:type="spellEnd"/>
      <w:r w:rsidR="00E456DF">
        <w:rPr>
          <w:sz w:val="24"/>
          <w:szCs w:val="24"/>
        </w:rPr>
        <w:t xml:space="preserve">, the </w:t>
      </w:r>
      <w:proofErr w:type="spellStart"/>
      <w:r w:rsidR="00E456DF">
        <w:rPr>
          <w:sz w:val="24"/>
          <w:szCs w:val="24"/>
        </w:rPr>
        <w:t>OpenLearn</w:t>
      </w:r>
      <w:proofErr w:type="spellEnd"/>
      <w:r w:rsidR="00E456DF">
        <w:rPr>
          <w:sz w:val="24"/>
          <w:szCs w:val="24"/>
        </w:rPr>
        <w:t xml:space="preserve">, of the Open University of the UK among others have promoted online education in order to help meet the needs of the growing demand for higher </w:t>
      </w:r>
      <w:r w:rsidR="00F81D05">
        <w:rPr>
          <w:sz w:val="24"/>
          <w:szCs w:val="24"/>
        </w:rPr>
        <w:t xml:space="preserve">education </w:t>
      </w:r>
      <w:r w:rsidR="00E456DF">
        <w:rPr>
          <w:sz w:val="24"/>
          <w:szCs w:val="24"/>
        </w:rPr>
        <w:t xml:space="preserve">and </w:t>
      </w:r>
      <w:r w:rsidR="00085C3D">
        <w:rPr>
          <w:sz w:val="24"/>
          <w:szCs w:val="24"/>
        </w:rPr>
        <w:t>technical</w:t>
      </w:r>
      <w:r w:rsidR="00E456DF">
        <w:rPr>
          <w:sz w:val="24"/>
          <w:szCs w:val="24"/>
        </w:rPr>
        <w:t xml:space="preserve"> </w:t>
      </w:r>
      <w:r w:rsidR="00F81D05">
        <w:rPr>
          <w:sz w:val="24"/>
          <w:szCs w:val="24"/>
        </w:rPr>
        <w:t>training</w:t>
      </w:r>
      <w:r w:rsidR="00E456DF">
        <w:rPr>
          <w:sz w:val="24"/>
          <w:szCs w:val="24"/>
        </w:rPr>
        <w:t>.  Open Education Resources</w:t>
      </w:r>
      <w:r w:rsidR="0086343A">
        <w:rPr>
          <w:sz w:val="24"/>
          <w:szCs w:val="24"/>
        </w:rPr>
        <w:t xml:space="preserve"> (started in 2002)</w:t>
      </w:r>
      <w:r w:rsidR="00E456DF">
        <w:rPr>
          <w:sz w:val="24"/>
          <w:szCs w:val="24"/>
        </w:rPr>
        <w:t xml:space="preserve"> are most often free and freely available</w:t>
      </w:r>
      <w:r w:rsidR="0086343A">
        <w:rPr>
          <w:sz w:val="24"/>
          <w:szCs w:val="24"/>
        </w:rPr>
        <w:t>.</w:t>
      </w:r>
      <w:r w:rsidR="00085C3D">
        <w:rPr>
          <w:rStyle w:val="FootnoteReference"/>
          <w:sz w:val="24"/>
          <w:szCs w:val="24"/>
        </w:rPr>
        <w:footnoteReference w:id="8"/>
      </w:r>
      <w:r w:rsidR="0086343A">
        <w:rPr>
          <w:sz w:val="24"/>
          <w:szCs w:val="24"/>
        </w:rPr>
        <w:t xml:space="preserve">  All levels of education can use them, and they are reusable without having to seek permission of the author.  They are often available in various formats, but most usable in a digital format.  Collaboration can save academics considerable time and expense.  The recent </w:t>
      </w:r>
      <w:proofErr w:type="gramStart"/>
      <w:r w:rsidR="0086343A">
        <w:rPr>
          <w:sz w:val="24"/>
          <w:szCs w:val="24"/>
        </w:rPr>
        <w:t>movement toward the offering of Massive Open Online Courses (MOOCs) have</w:t>
      </w:r>
      <w:proofErr w:type="gramEnd"/>
      <w:r w:rsidR="0086343A">
        <w:rPr>
          <w:sz w:val="24"/>
          <w:szCs w:val="24"/>
        </w:rPr>
        <w:t xml:space="preserve"> gained considerable attention by many universities.  Although there is much controversy as to where and how MOOCs </w:t>
      </w:r>
      <w:r w:rsidR="00BB7DCF">
        <w:rPr>
          <w:sz w:val="24"/>
          <w:szCs w:val="24"/>
        </w:rPr>
        <w:t>are evolving</w:t>
      </w:r>
      <w:r w:rsidR="0086343A">
        <w:rPr>
          <w:sz w:val="24"/>
          <w:szCs w:val="24"/>
        </w:rPr>
        <w:t xml:space="preserve">, they are </w:t>
      </w:r>
      <w:r w:rsidR="00F81D05">
        <w:rPr>
          <w:sz w:val="24"/>
          <w:szCs w:val="24"/>
        </w:rPr>
        <w:t xml:space="preserve">presently </w:t>
      </w:r>
      <w:r w:rsidR="0086343A">
        <w:rPr>
          <w:sz w:val="24"/>
          <w:szCs w:val="24"/>
        </w:rPr>
        <w:t xml:space="preserve">promoted by many universities to attract </w:t>
      </w:r>
      <w:r w:rsidR="00BB7DCF">
        <w:rPr>
          <w:sz w:val="24"/>
          <w:szCs w:val="24"/>
        </w:rPr>
        <w:t>new</w:t>
      </w:r>
      <w:r w:rsidR="0086343A">
        <w:rPr>
          <w:sz w:val="24"/>
          <w:szCs w:val="24"/>
        </w:rPr>
        <w:t xml:space="preserve"> students </w:t>
      </w:r>
      <w:r w:rsidR="00BB7DCF">
        <w:rPr>
          <w:sz w:val="24"/>
          <w:szCs w:val="24"/>
        </w:rPr>
        <w:t>in starting</w:t>
      </w:r>
      <w:r w:rsidR="0086343A">
        <w:rPr>
          <w:sz w:val="24"/>
          <w:szCs w:val="24"/>
        </w:rPr>
        <w:t xml:space="preserve"> programs at reduced or no costs.  Getting credit for those courses </w:t>
      </w:r>
      <w:r w:rsidR="00F81D05">
        <w:rPr>
          <w:sz w:val="24"/>
          <w:szCs w:val="24"/>
        </w:rPr>
        <w:t xml:space="preserve">is not often possible; however, </w:t>
      </w:r>
      <w:r w:rsidR="004364A7">
        <w:rPr>
          <w:sz w:val="24"/>
          <w:szCs w:val="24"/>
        </w:rPr>
        <w:lastRenderedPageBreak/>
        <w:t xml:space="preserve">completion certificates are </w:t>
      </w:r>
      <w:r w:rsidR="00F81D05">
        <w:rPr>
          <w:sz w:val="24"/>
          <w:szCs w:val="24"/>
        </w:rPr>
        <w:t>often given</w:t>
      </w:r>
      <w:r w:rsidR="00060D35">
        <w:rPr>
          <w:sz w:val="24"/>
          <w:szCs w:val="24"/>
        </w:rPr>
        <w:t>, although c</w:t>
      </w:r>
      <w:r w:rsidR="00F81D05">
        <w:rPr>
          <w:sz w:val="24"/>
          <w:szCs w:val="24"/>
        </w:rPr>
        <w:t xml:space="preserve">ompletion rates are usually very low.  </w:t>
      </w:r>
      <w:r w:rsidR="00BB7DCF">
        <w:rPr>
          <w:sz w:val="24"/>
          <w:szCs w:val="24"/>
        </w:rPr>
        <w:t xml:space="preserve">Their value is often questioned by a number of academics due to </w:t>
      </w:r>
      <w:r w:rsidR="00F81D05">
        <w:rPr>
          <w:sz w:val="24"/>
          <w:szCs w:val="24"/>
        </w:rPr>
        <w:t>a lack of effective management because of large enrollment</w:t>
      </w:r>
      <w:r w:rsidR="00BB7DCF">
        <w:rPr>
          <w:sz w:val="24"/>
          <w:szCs w:val="24"/>
        </w:rPr>
        <w:t xml:space="preserve"> and</w:t>
      </w:r>
      <w:r w:rsidR="00F81D05">
        <w:rPr>
          <w:sz w:val="24"/>
          <w:szCs w:val="24"/>
        </w:rPr>
        <w:t>,</w:t>
      </w:r>
      <w:r w:rsidR="00BB7DCF">
        <w:rPr>
          <w:sz w:val="24"/>
          <w:szCs w:val="24"/>
        </w:rPr>
        <w:t xml:space="preserve"> </w:t>
      </w:r>
      <w:r w:rsidR="00F81D05">
        <w:rPr>
          <w:sz w:val="24"/>
          <w:szCs w:val="24"/>
        </w:rPr>
        <w:t xml:space="preserve">therefore, </w:t>
      </w:r>
      <w:r w:rsidR="00060D35">
        <w:rPr>
          <w:sz w:val="24"/>
          <w:szCs w:val="24"/>
        </w:rPr>
        <w:t xml:space="preserve">usually as a consequence of large numbers, </w:t>
      </w:r>
      <w:r w:rsidR="00BB7DCF">
        <w:rPr>
          <w:sz w:val="24"/>
          <w:szCs w:val="24"/>
        </w:rPr>
        <w:t xml:space="preserve">limited feedback </w:t>
      </w:r>
      <w:r w:rsidR="00F81D05">
        <w:rPr>
          <w:sz w:val="24"/>
          <w:szCs w:val="24"/>
        </w:rPr>
        <w:t xml:space="preserve">most </w:t>
      </w:r>
      <w:r w:rsidR="00BB7DCF">
        <w:rPr>
          <w:sz w:val="24"/>
          <w:szCs w:val="24"/>
        </w:rPr>
        <w:t xml:space="preserve">participants receive.  </w:t>
      </w:r>
    </w:p>
    <w:p w:rsidR="00E738A1" w:rsidRDefault="00BB7DCF" w:rsidP="00F81D05">
      <w:pPr>
        <w:spacing w:line="240" w:lineRule="auto"/>
        <w:ind w:right="-270" w:firstLine="720"/>
        <w:rPr>
          <w:sz w:val="24"/>
          <w:szCs w:val="24"/>
        </w:rPr>
      </w:pPr>
      <w:r>
        <w:rPr>
          <w:sz w:val="24"/>
          <w:szCs w:val="24"/>
        </w:rPr>
        <w:t>The</w:t>
      </w:r>
      <w:r w:rsidR="00F81D05">
        <w:rPr>
          <w:sz w:val="24"/>
          <w:szCs w:val="24"/>
        </w:rPr>
        <w:t xml:space="preserve"> use of</w:t>
      </w:r>
      <w:r>
        <w:rPr>
          <w:sz w:val="24"/>
          <w:szCs w:val="24"/>
        </w:rPr>
        <w:t xml:space="preserve"> online models </w:t>
      </w:r>
      <w:r w:rsidR="00495F79">
        <w:rPr>
          <w:sz w:val="24"/>
          <w:szCs w:val="24"/>
        </w:rPr>
        <w:t xml:space="preserve">of open and distance learning (ODL) </w:t>
      </w:r>
      <w:r>
        <w:rPr>
          <w:sz w:val="24"/>
          <w:szCs w:val="24"/>
        </w:rPr>
        <w:t>can help academi</w:t>
      </w:r>
      <w:r w:rsidR="00F81D05">
        <w:rPr>
          <w:sz w:val="24"/>
          <w:szCs w:val="24"/>
        </w:rPr>
        <w:t>a</w:t>
      </w:r>
      <w:r>
        <w:rPr>
          <w:sz w:val="24"/>
          <w:szCs w:val="24"/>
        </w:rPr>
        <w:t xml:space="preserve"> reap the best content to diversify course offerings and answer such questions as what is relevant to current needs </w:t>
      </w:r>
      <w:r w:rsidR="00F81D05">
        <w:rPr>
          <w:sz w:val="24"/>
          <w:szCs w:val="24"/>
        </w:rPr>
        <w:t>in relation to</w:t>
      </w:r>
      <w:r w:rsidR="00495F79">
        <w:rPr>
          <w:sz w:val="24"/>
          <w:szCs w:val="24"/>
        </w:rPr>
        <w:t xml:space="preserve"> employers’</w:t>
      </w:r>
      <w:r>
        <w:rPr>
          <w:sz w:val="24"/>
          <w:szCs w:val="24"/>
        </w:rPr>
        <w:t xml:space="preserve"> demand</w:t>
      </w:r>
      <w:r w:rsidR="00F81D05">
        <w:rPr>
          <w:sz w:val="24"/>
          <w:szCs w:val="24"/>
        </w:rPr>
        <w:t>s</w:t>
      </w:r>
      <w:r>
        <w:rPr>
          <w:sz w:val="24"/>
          <w:szCs w:val="24"/>
        </w:rPr>
        <w:t xml:space="preserve">.  </w:t>
      </w:r>
      <w:r w:rsidR="00495F79">
        <w:rPr>
          <w:sz w:val="24"/>
          <w:szCs w:val="24"/>
        </w:rPr>
        <w:t>Also,</w:t>
      </w:r>
      <w:r>
        <w:rPr>
          <w:sz w:val="24"/>
          <w:szCs w:val="24"/>
        </w:rPr>
        <w:t xml:space="preserve"> non-cognitive skills are gaining increased emphasis in such areas as leadership training, communication, flexibility, ethics, and collaboration</w:t>
      </w:r>
      <w:r w:rsidR="00495F79">
        <w:rPr>
          <w:sz w:val="24"/>
          <w:szCs w:val="24"/>
        </w:rPr>
        <w:t>—all part of the new Knowledge Age skill set</w:t>
      </w:r>
      <w:r>
        <w:rPr>
          <w:sz w:val="24"/>
          <w:szCs w:val="24"/>
        </w:rPr>
        <w:t xml:space="preserve">.  The potential for integrating these new skills into the curriculum can be more easily met with collective resources.  The crux of </w:t>
      </w:r>
      <w:r w:rsidR="00495F79">
        <w:rPr>
          <w:sz w:val="24"/>
          <w:szCs w:val="24"/>
        </w:rPr>
        <w:t xml:space="preserve">open educational resources </w:t>
      </w:r>
      <w:r w:rsidR="00F430CC">
        <w:rPr>
          <w:sz w:val="24"/>
          <w:szCs w:val="24"/>
        </w:rPr>
        <w:t>(</w:t>
      </w:r>
      <w:r>
        <w:rPr>
          <w:sz w:val="24"/>
          <w:szCs w:val="24"/>
        </w:rPr>
        <w:t>OER</w:t>
      </w:r>
      <w:r w:rsidR="00F430CC">
        <w:rPr>
          <w:sz w:val="24"/>
          <w:szCs w:val="24"/>
        </w:rPr>
        <w:t>)</w:t>
      </w:r>
      <w:r>
        <w:rPr>
          <w:sz w:val="24"/>
          <w:szCs w:val="24"/>
        </w:rPr>
        <w:t xml:space="preserve"> and MOOCs is that </w:t>
      </w:r>
      <w:r w:rsidR="00C0418F">
        <w:rPr>
          <w:sz w:val="24"/>
          <w:szCs w:val="24"/>
        </w:rPr>
        <w:t>their development</w:t>
      </w:r>
      <w:r>
        <w:rPr>
          <w:sz w:val="24"/>
          <w:szCs w:val="24"/>
        </w:rPr>
        <w:t xml:space="preserve"> should be able to help educators </w:t>
      </w:r>
      <w:r w:rsidR="00C0418F">
        <w:rPr>
          <w:sz w:val="24"/>
          <w:szCs w:val="24"/>
        </w:rPr>
        <w:t>to select optimal choices of</w:t>
      </w:r>
      <w:r>
        <w:rPr>
          <w:sz w:val="24"/>
          <w:szCs w:val="24"/>
        </w:rPr>
        <w:t xml:space="preserve"> course content.  </w:t>
      </w:r>
      <w:r w:rsidR="00F430CC">
        <w:rPr>
          <w:sz w:val="24"/>
          <w:szCs w:val="24"/>
        </w:rPr>
        <w:t xml:space="preserve">However, quality measures and matters must be </w:t>
      </w:r>
      <w:r w:rsidR="00C0418F">
        <w:rPr>
          <w:sz w:val="24"/>
          <w:szCs w:val="24"/>
        </w:rPr>
        <w:t>considered</w:t>
      </w:r>
      <w:r w:rsidR="00F430CC">
        <w:rPr>
          <w:sz w:val="24"/>
          <w:szCs w:val="24"/>
        </w:rPr>
        <w:t xml:space="preserve"> so that what we say we are providing (objectives) is what we actually provide at an acceptable level of understanding (measurement).  </w:t>
      </w:r>
    </w:p>
    <w:p w:rsidR="00F430CC" w:rsidRDefault="00F430CC" w:rsidP="00F81D05">
      <w:pPr>
        <w:spacing w:line="240" w:lineRule="auto"/>
        <w:ind w:right="-270" w:firstLine="720"/>
        <w:rPr>
          <w:sz w:val="24"/>
          <w:szCs w:val="24"/>
        </w:rPr>
      </w:pPr>
      <w:r>
        <w:rPr>
          <w:sz w:val="24"/>
          <w:szCs w:val="24"/>
        </w:rPr>
        <w:t xml:space="preserve">Education’s role in offering the 3Rs and now the 4Cs puts educational authorities and delivery systems at full thrust if they are to be most effective and efficient.  Several models that have in the past proved to be successful are Registered Apprenticeships and </w:t>
      </w:r>
      <w:r w:rsidR="00370CA9">
        <w:rPr>
          <w:sz w:val="24"/>
          <w:szCs w:val="24"/>
        </w:rPr>
        <w:t xml:space="preserve">Career Academies.  Both of these models partner with business and industry to determine what specific skills are needed and then offer the necessary career preparation with the skills training and at the same time earn a degree.  </w:t>
      </w:r>
      <w:r w:rsidR="00C0418F">
        <w:rPr>
          <w:sz w:val="24"/>
          <w:szCs w:val="24"/>
        </w:rPr>
        <w:t xml:space="preserve">Many technical schools, colleges, and universities often find work placement and internship courses offered within programmes to be effective in real-world skill applications.  At the Bermuda College, we increasingly offer both of these options to our students depending upon the programme in which they are enrolled.  </w:t>
      </w:r>
      <w:r w:rsidR="00370CA9">
        <w:rPr>
          <w:sz w:val="24"/>
          <w:szCs w:val="24"/>
        </w:rPr>
        <w:t>With rapidly changing skill sets, the transition from high school to postsecondary education (technical schools, community colleges, etc.) is more challenging and complex.  R</w:t>
      </w:r>
      <w:r w:rsidR="00BC6041">
        <w:rPr>
          <w:sz w:val="24"/>
          <w:szCs w:val="24"/>
        </w:rPr>
        <w:t xml:space="preserve">igor and relevance must go hand-in-hand.  Technology can help in this process through various distance and online delivery systems.  </w:t>
      </w:r>
    </w:p>
    <w:p w:rsidR="00BC6041" w:rsidRDefault="00BC6041" w:rsidP="00F81D05">
      <w:pPr>
        <w:spacing w:line="240" w:lineRule="auto"/>
        <w:ind w:right="-270" w:firstLine="720"/>
        <w:rPr>
          <w:sz w:val="24"/>
          <w:szCs w:val="24"/>
        </w:rPr>
      </w:pPr>
      <w:r>
        <w:rPr>
          <w:sz w:val="24"/>
          <w:szCs w:val="24"/>
        </w:rPr>
        <w:t>The Rigor/Relevance Framework</w:t>
      </w:r>
      <w:r w:rsidR="00EA343B">
        <w:rPr>
          <w:sz w:val="24"/>
          <w:szCs w:val="24"/>
        </w:rPr>
        <w:t>®</w:t>
      </w:r>
      <w:r>
        <w:rPr>
          <w:sz w:val="24"/>
          <w:szCs w:val="24"/>
        </w:rPr>
        <w:t xml:space="preserve"> is a very useful </w:t>
      </w:r>
      <w:r w:rsidR="00551F94">
        <w:rPr>
          <w:sz w:val="24"/>
          <w:szCs w:val="24"/>
        </w:rPr>
        <w:t>structure</w:t>
      </w:r>
      <w:r>
        <w:rPr>
          <w:sz w:val="24"/>
          <w:szCs w:val="24"/>
        </w:rPr>
        <w:t xml:space="preserve"> that can help examine curriculum, instruction and assessment.</w:t>
      </w:r>
      <w:r>
        <w:rPr>
          <w:rStyle w:val="FootnoteReference"/>
          <w:sz w:val="24"/>
          <w:szCs w:val="24"/>
        </w:rPr>
        <w:footnoteReference w:id="9"/>
      </w:r>
      <w:r w:rsidR="00EA343B">
        <w:rPr>
          <w:sz w:val="24"/>
          <w:szCs w:val="24"/>
        </w:rPr>
        <w:t xml:space="preserve">  As </w:t>
      </w:r>
      <w:r w:rsidR="00551F94">
        <w:rPr>
          <w:sz w:val="24"/>
          <w:szCs w:val="24"/>
        </w:rPr>
        <w:t>such,</w:t>
      </w:r>
      <w:r w:rsidR="00EA343B">
        <w:rPr>
          <w:sz w:val="24"/>
          <w:szCs w:val="24"/>
        </w:rPr>
        <w:t xml:space="preserve"> it is based on two dimensions of higher standards based on Bloom’s taxonomy and student achievement.  The four quadrants </w:t>
      </w:r>
      <w:r w:rsidR="00551F94">
        <w:rPr>
          <w:sz w:val="24"/>
          <w:szCs w:val="24"/>
        </w:rPr>
        <w:t xml:space="preserve">are composed </w:t>
      </w:r>
      <w:r w:rsidR="00EA343B">
        <w:rPr>
          <w:sz w:val="24"/>
          <w:szCs w:val="24"/>
        </w:rPr>
        <w:t xml:space="preserve">of A (skill acquisition), B (knowledge application), (C) </w:t>
      </w:r>
      <w:r w:rsidR="00C0418F">
        <w:rPr>
          <w:sz w:val="24"/>
          <w:szCs w:val="24"/>
        </w:rPr>
        <w:t>a</w:t>
      </w:r>
      <w:r w:rsidR="00EA343B">
        <w:rPr>
          <w:sz w:val="24"/>
          <w:szCs w:val="24"/>
        </w:rPr>
        <w:t>ssimilation</w:t>
      </w:r>
      <w:r w:rsidR="00551F94">
        <w:rPr>
          <w:sz w:val="24"/>
          <w:szCs w:val="24"/>
        </w:rPr>
        <w:t xml:space="preserve"> </w:t>
      </w:r>
      <w:r w:rsidR="00EA343B">
        <w:rPr>
          <w:sz w:val="24"/>
          <w:szCs w:val="24"/>
        </w:rPr>
        <w:t>(higher knowledge taxonomy levels), and D (adaptation of higher level skills to new applications.  The Rigor and Reference Framework is illustrated below:</w:t>
      </w:r>
    </w:p>
    <w:p w:rsidR="00EA343B" w:rsidRDefault="00EA343B" w:rsidP="00EA343B">
      <w:pPr>
        <w:spacing w:line="240" w:lineRule="auto"/>
        <w:ind w:right="-270"/>
        <w:rPr>
          <w:sz w:val="24"/>
          <w:szCs w:val="24"/>
        </w:rPr>
      </w:pPr>
      <w:r w:rsidRPr="00EA343B">
        <w:rPr>
          <w:noProof/>
          <w:sz w:val="24"/>
          <w:szCs w:val="24"/>
        </w:rPr>
        <w:lastRenderedPageBreak/>
        <w:drawing>
          <wp:inline distT="0" distB="0" distL="0" distR="0" wp14:anchorId="2B56122D" wp14:editId="20041441">
            <wp:extent cx="5514455" cy="3291840"/>
            <wp:effectExtent l="0" t="0" r="0" b="3810"/>
            <wp:docPr id="7" name="Content Placeholder 6"/>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pic:cNvPicPr>
                  </pic:nvPicPr>
                  <pic:blipFill>
                    <a:blip r:embed="rId9"/>
                    <a:stretch>
                      <a:fillRect/>
                    </a:stretch>
                  </pic:blipFill>
                  <pic:spPr>
                    <a:xfrm>
                      <a:off x="0" y="0"/>
                      <a:ext cx="5524114" cy="3297606"/>
                    </a:xfrm>
                    <a:prstGeom prst="rect">
                      <a:avLst/>
                    </a:prstGeom>
                  </pic:spPr>
                </pic:pic>
              </a:graphicData>
            </a:graphic>
          </wp:inline>
        </w:drawing>
      </w:r>
    </w:p>
    <w:p w:rsidR="00F430CC" w:rsidRDefault="00985C9D" w:rsidP="00F81D05">
      <w:pPr>
        <w:spacing w:line="240" w:lineRule="auto"/>
        <w:ind w:right="-270" w:firstLine="720"/>
        <w:rPr>
          <w:sz w:val="24"/>
          <w:szCs w:val="24"/>
        </w:rPr>
      </w:pPr>
      <w:r>
        <w:rPr>
          <w:sz w:val="24"/>
          <w:szCs w:val="24"/>
        </w:rPr>
        <w:t xml:space="preserve">The premise of the Rigor and Relevance Framework is that you can improve something that can be measured.  Skills and the level of their mastery can be more readily measured with this knowledge taxonomy and application model.  </w:t>
      </w:r>
      <w:r w:rsidR="007D229A">
        <w:rPr>
          <w:sz w:val="24"/>
          <w:szCs w:val="24"/>
        </w:rPr>
        <w:t>If skills are not mastered to a desired level one can continue to present applicati</w:t>
      </w:r>
      <w:r w:rsidR="007336A8">
        <w:rPr>
          <w:sz w:val="24"/>
          <w:szCs w:val="24"/>
        </w:rPr>
        <w:t>ons at higher taxonomy levels until the desired level of skill is mastered.</w:t>
      </w:r>
    </w:p>
    <w:p w:rsidR="00985C9D" w:rsidRDefault="00985C9D" w:rsidP="00F81D05">
      <w:pPr>
        <w:spacing w:line="240" w:lineRule="auto"/>
        <w:ind w:right="-270" w:firstLine="720"/>
        <w:rPr>
          <w:sz w:val="24"/>
          <w:szCs w:val="24"/>
        </w:rPr>
      </w:pPr>
      <w:r>
        <w:rPr>
          <w:sz w:val="24"/>
          <w:szCs w:val="24"/>
        </w:rPr>
        <w:t xml:space="preserve">In conclusion, modern day digital tools </w:t>
      </w:r>
      <w:r w:rsidR="005A29B8">
        <w:rPr>
          <w:sz w:val="24"/>
          <w:szCs w:val="24"/>
        </w:rPr>
        <w:t xml:space="preserve">can </w:t>
      </w:r>
      <w:r>
        <w:rPr>
          <w:sz w:val="24"/>
          <w:szCs w:val="24"/>
        </w:rPr>
        <w:t xml:space="preserve">help </w:t>
      </w:r>
      <w:r w:rsidR="005A29B8">
        <w:rPr>
          <w:sz w:val="24"/>
          <w:szCs w:val="24"/>
        </w:rPr>
        <w:t xml:space="preserve">build present-day knowledge age </w:t>
      </w:r>
      <w:r>
        <w:rPr>
          <w:sz w:val="24"/>
          <w:szCs w:val="24"/>
        </w:rPr>
        <w:t>skills</w:t>
      </w:r>
      <w:r w:rsidR="007D229A">
        <w:rPr>
          <w:sz w:val="24"/>
          <w:szCs w:val="24"/>
        </w:rPr>
        <w:t xml:space="preserve"> such as the 4Cs</w:t>
      </w:r>
      <w:r>
        <w:rPr>
          <w:sz w:val="24"/>
          <w:szCs w:val="24"/>
        </w:rPr>
        <w:t xml:space="preserve"> through the networking of humans through technology</w:t>
      </w:r>
      <w:r w:rsidR="007D229A">
        <w:rPr>
          <w:sz w:val="24"/>
          <w:szCs w:val="24"/>
        </w:rPr>
        <w:t xml:space="preserve"> </w:t>
      </w:r>
      <w:r w:rsidR="007336A8">
        <w:rPr>
          <w:sz w:val="24"/>
          <w:szCs w:val="24"/>
        </w:rPr>
        <w:t>in order to</w:t>
      </w:r>
      <w:r w:rsidR="007D229A">
        <w:rPr>
          <w:sz w:val="24"/>
          <w:szCs w:val="24"/>
        </w:rPr>
        <w:t xml:space="preserve"> build knowledge </w:t>
      </w:r>
      <w:r w:rsidR="005A29B8">
        <w:rPr>
          <w:sz w:val="24"/>
          <w:szCs w:val="24"/>
        </w:rPr>
        <w:t>in creative ways</w:t>
      </w:r>
      <w:r w:rsidR="004C22BB">
        <w:rPr>
          <w:sz w:val="24"/>
          <w:szCs w:val="24"/>
        </w:rPr>
        <w:t xml:space="preserve"> and with options that meet individual needs</w:t>
      </w:r>
      <w:r w:rsidR="007D229A">
        <w:rPr>
          <w:sz w:val="24"/>
          <w:szCs w:val="24"/>
        </w:rPr>
        <w:t xml:space="preserve">.  We are today moving to </w:t>
      </w:r>
      <w:r w:rsidR="005A29B8">
        <w:rPr>
          <w:sz w:val="24"/>
          <w:szCs w:val="24"/>
        </w:rPr>
        <w:t>learning environments</w:t>
      </w:r>
      <w:r w:rsidR="007D229A">
        <w:rPr>
          <w:sz w:val="24"/>
          <w:szCs w:val="24"/>
        </w:rPr>
        <w:t xml:space="preserve"> where the student must be doing most of the “thinking” and “working” as opposed to the facilitator/teacher, who must provide an appropriate path with </w:t>
      </w:r>
      <w:r w:rsidR="005A29B8">
        <w:rPr>
          <w:sz w:val="24"/>
          <w:szCs w:val="24"/>
        </w:rPr>
        <w:t xml:space="preserve">stimulating </w:t>
      </w:r>
      <w:r w:rsidR="007D229A">
        <w:rPr>
          <w:sz w:val="24"/>
          <w:szCs w:val="24"/>
        </w:rPr>
        <w:t xml:space="preserve">applications. </w:t>
      </w:r>
      <w:r w:rsidR="005A29B8">
        <w:rPr>
          <w:sz w:val="24"/>
          <w:szCs w:val="24"/>
        </w:rPr>
        <w:t xml:space="preserve"> Technology skills can help both the teacher and the learner and also help them measure our successes with greater ease.  After all, it is more difficult to improve results if we don’t measure them.  As Albert Einstein has said, “Problems cannot be solved at the same level of awareness that created them.”   </w:t>
      </w:r>
      <w:r w:rsidR="004C22BB">
        <w:rPr>
          <w:sz w:val="24"/>
          <w:szCs w:val="24"/>
        </w:rPr>
        <w:t>We must increasingly utilize technology to individualize and meet the needs of the rapidly changing economies and provide educational opportunities at affordable prices for the ever-increasing numbers seeking the skills that the 21</w:t>
      </w:r>
      <w:r w:rsidR="004C22BB" w:rsidRPr="004C22BB">
        <w:rPr>
          <w:sz w:val="24"/>
          <w:szCs w:val="24"/>
          <w:vertAlign w:val="superscript"/>
        </w:rPr>
        <w:t>st</w:t>
      </w:r>
      <w:r w:rsidR="004C22BB">
        <w:rPr>
          <w:sz w:val="24"/>
          <w:szCs w:val="24"/>
        </w:rPr>
        <w:t xml:space="preserve"> century demands.  </w:t>
      </w:r>
    </w:p>
    <w:p w:rsidR="005A29B8" w:rsidRDefault="005A29B8" w:rsidP="00F81D05">
      <w:pPr>
        <w:spacing w:line="240" w:lineRule="auto"/>
        <w:ind w:right="-270" w:firstLine="720"/>
        <w:rPr>
          <w:sz w:val="24"/>
          <w:szCs w:val="24"/>
        </w:rPr>
      </w:pPr>
    </w:p>
    <w:p w:rsidR="00BB7DCF" w:rsidRDefault="00BB7DCF" w:rsidP="006A7556">
      <w:pPr>
        <w:spacing w:line="240" w:lineRule="auto"/>
        <w:ind w:right="-270"/>
        <w:rPr>
          <w:sz w:val="24"/>
          <w:szCs w:val="24"/>
        </w:rPr>
      </w:pPr>
    </w:p>
    <w:p w:rsidR="005A29B8" w:rsidRPr="007B5418" w:rsidRDefault="005A29B8" w:rsidP="005A29B8">
      <w:pPr>
        <w:spacing w:line="240" w:lineRule="auto"/>
        <w:ind w:right="-270"/>
        <w:rPr>
          <w:sz w:val="24"/>
          <w:szCs w:val="24"/>
        </w:rPr>
      </w:pPr>
    </w:p>
    <w:sectPr w:rsidR="005A29B8" w:rsidRPr="007B5418" w:rsidSect="00DC214F">
      <w:footerReference w:type="default" r:id="rId10"/>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2BF" w:rsidRDefault="004872BF" w:rsidP="00983F6B">
      <w:pPr>
        <w:spacing w:after="0" w:line="240" w:lineRule="auto"/>
      </w:pPr>
      <w:r>
        <w:separator/>
      </w:r>
    </w:p>
  </w:endnote>
  <w:endnote w:type="continuationSeparator" w:id="0">
    <w:p w:rsidR="004872BF" w:rsidRDefault="004872BF" w:rsidP="00983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21466"/>
      <w:docPartObj>
        <w:docPartGallery w:val="Page Numbers (Bottom of Page)"/>
        <w:docPartUnique/>
      </w:docPartObj>
    </w:sdtPr>
    <w:sdtEndPr>
      <w:rPr>
        <w:noProof/>
      </w:rPr>
    </w:sdtEndPr>
    <w:sdtContent>
      <w:p w:rsidR="00551F94" w:rsidRDefault="00551F94">
        <w:pPr>
          <w:pStyle w:val="Footer"/>
          <w:jc w:val="right"/>
        </w:pPr>
        <w:r>
          <w:fldChar w:fldCharType="begin"/>
        </w:r>
        <w:r>
          <w:instrText xml:space="preserve"> PAGE   \* MERGEFORMAT </w:instrText>
        </w:r>
        <w:r>
          <w:fldChar w:fldCharType="separate"/>
        </w:r>
        <w:r w:rsidR="00B6195F">
          <w:rPr>
            <w:noProof/>
          </w:rPr>
          <w:t>1</w:t>
        </w:r>
        <w:r>
          <w:rPr>
            <w:noProof/>
          </w:rPr>
          <w:fldChar w:fldCharType="end"/>
        </w:r>
      </w:p>
    </w:sdtContent>
  </w:sdt>
  <w:p w:rsidR="00551F94" w:rsidRDefault="00551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2BF" w:rsidRDefault="004872BF" w:rsidP="00983F6B">
      <w:pPr>
        <w:spacing w:after="0" w:line="240" w:lineRule="auto"/>
      </w:pPr>
      <w:r>
        <w:separator/>
      </w:r>
    </w:p>
  </w:footnote>
  <w:footnote w:type="continuationSeparator" w:id="0">
    <w:p w:rsidR="004872BF" w:rsidRDefault="004872BF" w:rsidP="00983F6B">
      <w:pPr>
        <w:spacing w:after="0" w:line="240" w:lineRule="auto"/>
      </w:pPr>
      <w:r>
        <w:continuationSeparator/>
      </w:r>
    </w:p>
  </w:footnote>
  <w:footnote w:id="1">
    <w:p w:rsidR="00551F94" w:rsidRDefault="00551F94">
      <w:pPr>
        <w:pStyle w:val="FootnoteText"/>
      </w:pPr>
      <w:r>
        <w:rPr>
          <w:rStyle w:val="FootnoteReference"/>
        </w:rPr>
        <w:footnoteRef/>
      </w:r>
      <w:proofErr w:type="spellStart"/>
      <w:r>
        <w:t>Rocavert</w:t>
      </w:r>
      <w:proofErr w:type="spellEnd"/>
      <w:r>
        <w:t xml:space="preserve">, Troy (2008).  </w:t>
      </w:r>
      <w:proofErr w:type="gramStart"/>
      <w:r>
        <w:t>Network Marketing (Latest Business Trends – A Changing Society).</w:t>
      </w:r>
      <w:proofErr w:type="gramEnd"/>
      <w:r>
        <w:t xml:space="preserve"> </w:t>
      </w:r>
      <w:proofErr w:type="gramStart"/>
      <w:r>
        <w:t xml:space="preserve">Retrieved from </w:t>
      </w:r>
      <w:hyperlink r:id="rId1" w:history="1">
        <w:r w:rsidRPr="009B4F47">
          <w:rPr>
            <w:rStyle w:val="Hyperlink"/>
          </w:rPr>
          <w:t>http://www.network-marketing-business-school.com/business-trends.html/</w:t>
        </w:r>
      </w:hyperlink>
      <w:r>
        <w:t>.</w:t>
      </w:r>
      <w:proofErr w:type="gramEnd"/>
      <w:r>
        <w:t xml:space="preserve"> </w:t>
      </w:r>
      <w:proofErr w:type="gramStart"/>
      <w:r>
        <w:t>Accessed 2013, Jan. 12.</w:t>
      </w:r>
      <w:proofErr w:type="gramEnd"/>
      <w:r>
        <w:t xml:space="preserve"> </w:t>
      </w:r>
    </w:p>
  </w:footnote>
  <w:footnote w:id="2">
    <w:p w:rsidR="00551F94" w:rsidRDefault="00551F94">
      <w:pPr>
        <w:pStyle w:val="FootnoteText"/>
      </w:pPr>
      <w:r>
        <w:rPr>
          <w:rStyle w:val="FootnoteReference"/>
        </w:rPr>
        <w:footnoteRef/>
      </w:r>
      <w:proofErr w:type="gramStart"/>
      <w:r>
        <w:t>Change and Education.</w:t>
      </w:r>
      <w:proofErr w:type="gramEnd"/>
      <w:r>
        <w:t xml:space="preserve">  “How is Education Doing in the US?</w:t>
      </w:r>
      <w:proofErr w:type="gramStart"/>
      <w:r>
        <w:t>”,</w:t>
      </w:r>
      <w:proofErr w:type="gramEnd"/>
      <w:r>
        <w:t xml:space="preserve"> p.2.  </w:t>
      </w:r>
      <w:proofErr w:type="gramStart"/>
      <w:r>
        <w:t xml:space="preserve">Retrieved from </w:t>
      </w:r>
      <w:hyperlink r:id="rId2" w:history="1">
        <w:r w:rsidRPr="009B4F47">
          <w:rPr>
            <w:rStyle w:val="Hyperlink"/>
          </w:rPr>
          <w:t>http://www.nsba.org/sbot/tolkit/chned.html/</w:t>
        </w:r>
      </w:hyperlink>
      <w:r>
        <w:t>.</w:t>
      </w:r>
      <w:proofErr w:type="gramEnd"/>
      <w:r>
        <w:t xml:space="preserve">  </w:t>
      </w:r>
      <w:proofErr w:type="gramStart"/>
      <w:r>
        <w:t>Access 2013, February.</w:t>
      </w:r>
      <w:proofErr w:type="gramEnd"/>
    </w:p>
  </w:footnote>
  <w:footnote w:id="3">
    <w:p w:rsidR="00551F94" w:rsidRDefault="00551F94" w:rsidP="00EA0AE6">
      <w:pPr>
        <w:pStyle w:val="FootnoteText"/>
      </w:pPr>
      <w:r>
        <w:rPr>
          <w:rStyle w:val="FootnoteReference"/>
        </w:rPr>
        <w:footnoteRef/>
      </w:r>
      <w:r>
        <w:t xml:space="preserve"> </w:t>
      </w:r>
      <w:proofErr w:type="spellStart"/>
      <w:r>
        <w:t>Fippinger</w:t>
      </w:r>
      <w:proofErr w:type="spellEnd"/>
      <w:r>
        <w:t>, Brian. (2013)</w:t>
      </w:r>
      <w:proofErr w:type="gramStart"/>
      <w:r>
        <w:t>.  “</w:t>
      </w:r>
      <w:proofErr w:type="gramEnd"/>
      <w:r>
        <w:t xml:space="preserve">The Job of a Lifetime, No Longer Lasts a Lifetime.” Social-Hire.com. </w:t>
      </w:r>
      <w:proofErr w:type="spellStart"/>
      <w:r>
        <w:t>Retreived</w:t>
      </w:r>
      <w:proofErr w:type="spellEnd"/>
      <w:r>
        <w:t xml:space="preserve"> from  </w:t>
      </w:r>
      <w:hyperlink r:id="rId3" w:history="1">
        <w:r w:rsidRPr="009B4F47">
          <w:rPr>
            <w:rStyle w:val="Hyperlink"/>
          </w:rPr>
          <w:t>http://www.social-hire.com/career--interview-advice/2722/</w:t>
        </w:r>
      </w:hyperlink>
    </w:p>
  </w:footnote>
  <w:footnote w:id="4">
    <w:p w:rsidR="00551F94" w:rsidRDefault="00551F94">
      <w:pPr>
        <w:pStyle w:val="FootnoteText"/>
      </w:pPr>
      <w:r>
        <w:rPr>
          <w:rStyle w:val="FootnoteReference"/>
        </w:rPr>
        <w:footnoteRef/>
      </w:r>
      <w:r>
        <w:t xml:space="preserve"> </w:t>
      </w:r>
      <w:proofErr w:type="gramStart"/>
      <w:r>
        <w:t>Partnership for 21</w:t>
      </w:r>
      <w:r w:rsidRPr="009F47A6">
        <w:rPr>
          <w:vertAlign w:val="superscript"/>
        </w:rPr>
        <w:t>st</w:t>
      </w:r>
      <w:r>
        <w:t xml:space="preserve"> Century Skills (2013).</w:t>
      </w:r>
      <w:proofErr w:type="gramEnd"/>
      <w:r>
        <w:t xml:space="preserve">   </w:t>
      </w:r>
      <w:hyperlink r:id="rId4" w:history="1">
        <w:proofErr w:type="gramStart"/>
        <w:r w:rsidRPr="009B4F47">
          <w:rPr>
            <w:rStyle w:val="Hyperlink"/>
          </w:rPr>
          <w:t>http://p21.org</w:t>
        </w:r>
      </w:hyperlink>
      <w:r>
        <w:t xml:space="preserve">   Accessed 2013, July 9.</w:t>
      </w:r>
      <w:proofErr w:type="gramEnd"/>
      <w:r>
        <w:t xml:space="preserve">  </w:t>
      </w:r>
    </w:p>
  </w:footnote>
  <w:footnote w:id="5">
    <w:p w:rsidR="00551F94" w:rsidRPr="0074584B" w:rsidRDefault="00551F94">
      <w:pPr>
        <w:pStyle w:val="FootnoteText"/>
        <w:rPr>
          <w:i/>
        </w:rPr>
      </w:pPr>
      <w:r>
        <w:rPr>
          <w:rStyle w:val="FootnoteReference"/>
        </w:rPr>
        <w:footnoteRef/>
      </w:r>
      <w:r>
        <w:t xml:space="preserve"> Preston, Camille (2010).  </w:t>
      </w:r>
      <w:proofErr w:type="gramStart"/>
      <w:r>
        <w:rPr>
          <w:i/>
        </w:rPr>
        <w:t>Engaging the Virtual Workforce.</w:t>
      </w:r>
      <w:proofErr w:type="gramEnd"/>
      <w:r>
        <w:rPr>
          <w:i/>
        </w:rPr>
        <w:t xml:space="preserve">  </w:t>
      </w:r>
      <w:hyperlink r:id="rId5" w:history="1">
        <w:r w:rsidRPr="009B4F47">
          <w:rPr>
            <w:rStyle w:val="Hyperlink"/>
            <w:i/>
          </w:rPr>
          <w:t>http://www.aimleadership.com</w:t>
        </w:r>
      </w:hyperlink>
      <w:r>
        <w:rPr>
          <w:i/>
        </w:rPr>
        <w:t xml:space="preserve">.  </w:t>
      </w:r>
    </w:p>
  </w:footnote>
  <w:footnote w:id="6">
    <w:p w:rsidR="00551F94" w:rsidRPr="00C27356" w:rsidRDefault="00551F94">
      <w:pPr>
        <w:pStyle w:val="FootnoteText"/>
      </w:pPr>
      <w:r>
        <w:rPr>
          <w:rStyle w:val="FootnoteReference"/>
        </w:rPr>
        <w:footnoteRef/>
      </w:r>
      <w:r>
        <w:t xml:space="preserve"> Glenn, Joanne M. </w:t>
      </w:r>
      <w:proofErr w:type="spellStart"/>
      <w:r>
        <w:t>Lozar</w:t>
      </w:r>
      <w:proofErr w:type="spellEnd"/>
      <w:r>
        <w:t xml:space="preserve"> (2011).  </w:t>
      </w:r>
      <w:proofErr w:type="gramStart"/>
      <w:r>
        <w:rPr>
          <w:i/>
        </w:rPr>
        <w:t>Strengthening Students’ Communication and Collaboration Skills.</w:t>
      </w:r>
      <w:proofErr w:type="gramEnd"/>
      <w:r>
        <w:rPr>
          <w:i/>
        </w:rPr>
        <w:t xml:space="preserve">  </w:t>
      </w:r>
      <w:r>
        <w:rPr>
          <w:u w:val="single"/>
        </w:rPr>
        <w:t>NBEA Forum</w:t>
      </w:r>
      <w:r>
        <w:t xml:space="preserve">, February, 2011, pp. 7-13.  </w:t>
      </w:r>
    </w:p>
  </w:footnote>
  <w:footnote w:id="7">
    <w:p w:rsidR="00551F94" w:rsidRDefault="00551F94" w:rsidP="00085C3D">
      <w:pPr>
        <w:spacing w:line="240" w:lineRule="auto"/>
        <w:ind w:right="-270"/>
      </w:pPr>
      <w:r>
        <w:rPr>
          <w:rStyle w:val="FootnoteReference"/>
        </w:rPr>
        <w:footnoteRef/>
      </w:r>
      <w:r>
        <w:t xml:space="preserve">Price, Cedric.   </w:t>
      </w:r>
      <w:hyperlink r:id="rId6" w:history="1">
        <w:r w:rsidRPr="009B4F47">
          <w:rPr>
            <w:rStyle w:val="Hyperlink"/>
            <w:sz w:val="24"/>
            <w:szCs w:val="24"/>
          </w:rPr>
          <w:t>http://www.cca.qc.ca/en/collection/283-cedric-price-fun-palace</w:t>
        </w:r>
      </w:hyperlink>
      <w:r>
        <w:rPr>
          <w:sz w:val="24"/>
          <w:szCs w:val="24"/>
        </w:rPr>
        <w:t xml:space="preserve"> </w:t>
      </w:r>
    </w:p>
  </w:footnote>
  <w:footnote w:id="8">
    <w:p w:rsidR="00551F94" w:rsidRDefault="00551F94">
      <w:pPr>
        <w:pStyle w:val="FootnoteText"/>
      </w:pPr>
      <w:r>
        <w:rPr>
          <w:rStyle w:val="FootnoteReference"/>
        </w:rPr>
        <w:footnoteRef/>
      </w:r>
      <w:proofErr w:type="spellStart"/>
      <w:r>
        <w:t>Kanwar</w:t>
      </w:r>
      <w:proofErr w:type="spellEnd"/>
      <w:r>
        <w:t xml:space="preserve">, </w:t>
      </w:r>
      <w:proofErr w:type="spellStart"/>
      <w:r>
        <w:t>Asha</w:t>
      </w:r>
      <w:proofErr w:type="spellEnd"/>
      <w:r>
        <w:t>. (2012)</w:t>
      </w:r>
      <w:proofErr w:type="gramStart"/>
      <w:r>
        <w:t>.  “</w:t>
      </w:r>
      <w:proofErr w:type="gramEnd"/>
      <w:r>
        <w:t xml:space="preserve">The Dynamics of Changing Societies and the Dynamic Role of ODL in Creating the Future,”  Keynote presentation at AAOU 2012 Annual Conference, 17 October, 2012, Tokyo Japan.  Retrieved from </w:t>
      </w:r>
      <w:hyperlink r:id="rId7" w:history="1">
        <w:r w:rsidRPr="00614A87">
          <w:rPr>
            <w:rStyle w:val="Hyperlink"/>
          </w:rPr>
          <w:t>www.col.org/resources/speeches/2012presentations/Pages/2012-10-17.aspx</w:t>
        </w:r>
      </w:hyperlink>
      <w:r>
        <w:t xml:space="preserve"> </w:t>
      </w:r>
    </w:p>
  </w:footnote>
  <w:footnote w:id="9">
    <w:p w:rsidR="00551F94" w:rsidRDefault="00551F94">
      <w:pPr>
        <w:pStyle w:val="FootnoteText"/>
      </w:pPr>
      <w:r>
        <w:rPr>
          <w:rStyle w:val="FootnoteReference"/>
        </w:rPr>
        <w:footnoteRef/>
      </w:r>
      <w:proofErr w:type="gramStart"/>
      <w:r>
        <w:t>International Center for Leadership in Education.</w:t>
      </w:r>
      <w:proofErr w:type="gramEnd"/>
      <w:r>
        <w:t xml:space="preserve">  </w:t>
      </w:r>
      <w:proofErr w:type="gramStart"/>
      <w:r>
        <w:t xml:space="preserve">Retrieved from </w:t>
      </w:r>
      <w:hyperlink r:id="rId8" w:history="1">
        <w:r w:rsidRPr="00614A87">
          <w:rPr>
            <w:rStyle w:val="Hyperlink"/>
          </w:rPr>
          <w:t>www.leadered.com/rrr.html July 2013</w:t>
        </w:r>
      </w:hyperlink>
      <w:r>
        <w:t>.</w:t>
      </w:r>
      <w:proofErr w:type="gramEnd"/>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1E2"/>
    <w:rsid w:val="00006B98"/>
    <w:rsid w:val="00036967"/>
    <w:rsid w:val="00044631"/>
    <w:rsid w:val="00044A6E"/>
    <w:rsid w:val="00060D35"/>
    <w:rsid w:val="00085C3D"/>
    <w:rsid w:val="000D7582"/>
    <w:rsid w:val="000E6ED4"/>
    <w:rsid w:val="00185F9F"/>
    <w:rsid w:val="001C5417"/>
    <w:rsid w:val="00262F37"/>
    <w:rsid w:val="00292B3B"/>
    <w:rsid w:val="00320283"/>
    <w:rsid w:val="00370CA9"/>
    <w:rsid w:val="00383226"/>
    <w:rsid w:val="003A7FCE"/>
    <w:rsid w:val="003D7E37"/>
    <w:rsid w:val="004364A7"/>
    <w:rsid w:val="004872BF"/>
    <w:rsid w:val="00495F79"/>
    <w:rsid w:val="004C22BB"/>
    <w:rsid w:val="004C309A"/>
    <w:rsid w:val="0050642D"/>
    <w:rsid w:val="00511F23"/>
    <w:rsid w:val="0052270D"/>
    <w:rsid w:val="00546482"/>
    <w:rsid w:val="00551F94"/>
    <w:rsid w:val="00553928"/>
    <w:rsid w:val="005A29B8"/>
    <w:rsid w:val="006A7556"/>
    <w:rsid w:val="006C1E51"/>
    <w:rsid w:val="00703386"/>
    <w:rsid w:val="007336A8"/>
    <w:rsid w:val="0074584B"/>
    <w:rsid w:val="00761A81"/>
    <w:rsid w:val="00782C01"/>
    <w:rsid w:val="007966E7"/>
    <w:rsid w:val="007B5418"/>
    <w:rsid w:val="007C72FA"/>
    <w:rsid w:val="007D229A"/>
    <w:rsid w:val="0086343A"/>
    <w:rsid w:val="008D3214"/>
    <w:rsid w:val="008F2267"/>
    <w:rsid w:val="00916F1B"/>
    <w:rsid w:val="00927E07"/>
    <w:rsid w:val="00941512"/>
    <w:rsid w:val="00974B7A"/>
    <w:rsid w:val="00983F6B"/>
    <w:rsid w:val="00985C9D"/>
    <w:rsid w:val="009F47A6"/>
    <w:rsid w:val="009F7CEE"/>
    <w:rsid w:val="00A335AC"/>
    <w:rsid w:val="00A353D7"/>
    <w:rsid w:val="00AF0BA7"/>
    <w:rsid w:val="00B6195F"/>
    <w:rsid w:val="00B6324A"/>
    <w:rsid w:val="00B814F0"/>
    <w:rsid w:val="00BB7DCF"/>
    <w:rsid w:val="00BC2735"/>
    <w:rsid w:val="00BC6041"/>
    <w:rsid w:val="00BE5229"/>
    <w:rsid w:val="00C0418F"/>
    <w:rsid w:val="00C27356"/>
    <w:rsid w:val="00D62743"/>
    <w:rsid w:val="00D70E14"/>
    <w:rsid w:val="00D97135"/>
    <w:rsid w:val="00DA4605"/>
    <w:rsid w:val="00DC214F"/>
    <w:rsid w:val="00DF71E2"/>
    <w:rsid w:val="00E00720"/>
    <w:rsid w:val="00E01BF3"/>
    <w:rsid w:val="00E456DF"/>
    <w:rsid w:val="00E53C8A"/>
    <w:rsid w:val="00E738A1"/>
    <w:rsid w:val="00EA0AE6"/>
    <w:rsid w:val="00EA343B"/>
    <w:rsid w:val="00F430CC"/>
    <w:rsid w:val="00F8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3F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3F6B"/>
    <w:rPr>
      <w:sz w:val="20"/>
      <w:szCs w:val="20"/>
    </w:rPr>
  </w:style>
  <w:style w:type="character" w:styleId="FootnoteReference">
    <w:name w:val="footnote reference"/>
    <w:basedOn w:val="DefaultParagraphFont"/>
    <w:uiPriority w:val="99"/>
    <w:semiHidden/>
    <w:unhideWhenUsed/>
    <w:rsid w:val="00983F6B"/>
    <w:rPr>
      <w:vertAlign w:val="superscript"/>
    </w:rPr>
  </w:style>
  <w:style w:type="character" w:styleId="Hyperlink">
    <w:name w:val="Hyperlink"/>
    <w:basedOn w:val="DefaultParagraphFont"/>
    <w:uiPriority w:val="99"/>
    <w:unhideWhenUsed/>
    <w:rsid w:val="00036967"/>
    <w:rPr>
      <w:color w:val="0000FF" w:themeColor="hyperlink"/>
      <w:u w:val="single"/>
    </w:rPr>
  </w:style>
  <w:style w:type="paragraph" w:styleId="Header">
    <w:name w:val="header"/>
    <w:basedOn w:val="Normal"/>
    <w:link w:val="HeaderChar"/>
    <w:uiPriority w:val="99"/>
    <w:unhideWhenUsed/>
    <w:rsid w:val="00553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928"/>
  </w:style>
  <w:style w:type="paragraph" w:styleId="Footer">
    <w:name w:val="footer"/>
    <w:basedOn w:val="Normal"/>
    <w:link w:val="FooterChar"/>
    <w:uiPriority w:val="99"/>
    <w:unhideWhenUsed/>
    <w:rsid w:val="00553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928"/>
  </w:style>
  <w:style w:type="table" w:styleId="TableGrid">
    <w:name w:val="Table Grid"/>
    <w:basedOn w:val="TableNormal"/>
    <w:uiPriority w:val="59"/>
    <w:rsid w:val="006A75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3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4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3F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3F6B"/>
    <w:rPr>
      <w:sz w:val="20"/>
      <w:szCs w:val="20"/>
    </w:rPr>
  </w:style>
  <w:style w:type="character" w:styleId="FootnoteReference">
    <w:name w:val="footnote reference"/>
    <w:basedOn w:val="DefaultParagraphFont"/>
    <w:uiPriority w:val="99"/>
    <w:semiHidden/>
    <w:unhideWhenUsed/>
    <w:rsid w:val="00983F6B"/>
    <w:rPr>
      <w:vertAlign w:val="superscript"/>
    </w:rPr>
  </w:style>
  <w:style w:type="character" w:styleId="Hyperlink">
    <w:name w:val="Hyperlink"/>
    <w:basedOn w:val="DefaultParagraphFont"/>
    <w:uiPriority w:val="99"/>
    <w:unhideWhenUsed/>
    <w:rsid w:val="00036967"/>
    <w:rPr>
      <w:color w:val="0000FF" w:themeColor="hyperlink"/>
      <w:u w:val="single"/>
    </w:rPr>
  </w:style>
  <w:style w:type="paragraph" w:styleId="Header">
    <w:name w:val="header"/>
    <w:basedOn w:val="Normal"/>
    <w:link w:val="HeaderChar"/>
    <w:uiPriority w:val="99"/>
    <w:unhideWhenUsed/>
    <w:rsid w:val="00553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928"/>
  </w:style>
  <w:style w:type="paragraph" w:styleId="Footer">
    <w:name w:val="footer"/>
    <w:basedOn w:val="Normal"/>
    <w:link w:val="FooterChar"/>
    <w:uiPriority w:val="99"/>
    <w:unhideWhenUsed/>
    <w:rsid w:val="00553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928"/>
  </w:style>
  <w:style w:type="table" w:styleId="TableGrid">
    <w:name w:val="Table Grid"/>
    <w:basedOn w:val="TableNormal"/>
    <w:uiPriority w:val="59"/>
    <w:rsid w:val="006A75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3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ba.org/sbot/toolkit/chinv.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leadered.com/rrr.html%20July%202013" TargetMode="External"/><Relationship Id="rId3" Type="http://schemas.openxmlformats.org/officeDocument/2006/relationships/hyperlink" Target="http://www.social-hire.com/career--interview-advice/2722/" TargetMode="External"/><Relationship Id="rId7" Type="http://schemas.openxmlformats.org/officeDocument/2006/relationships/hyperlink" Target="http://www.col.org/resources/speeches/2012presentations/Pages/2012-10-17.aspx" TargetMode="External"/><Relationship Id="rId2" Type="http://schemas.openxmlformats.org/officeDocument/2006/relationships/hyperlink" Target="http://www.nsba.org/sbot/tolkit/chned.html/" TargetMode="External"/><Relationship Id="rId1" Type="http://schemas.openxmlformats.org/officeDocument/2006/relationships/hyperlink" Target="http://www.network-marketing-business-school.com/business-trends.html/" TargetMode="External"/><Relationship Id="rId6" Type="http://schemas.openxmlformats.org/officeDocument/2006/relationships/hyperlink" Target="http://www.cca.qc.ca/en/collection/283-cedric-price-fun-palace" TargetMode="External"/><Relationship Id="rId5" Type="http://schemas.openxmlformats.org/officeDocument/2006/relationships/hyperlink" Target="http://www.aimleadership.com" TargetMode="External"/><Relationship Id="rId4" Type="http://schemas.openxmlformats.org/officeDocument/2006/relationships/hyperlink" Target="http://p2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285B4-F38D-4356-8FF6-43E4BD69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41627EDD.dotm</Template>
  <TotalTime>254</TotalTime>
  <Pages>6</Pages>
  <Words>2368</Words>
  <Characters>13503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bercol</dc:creator>
  <cp:lastModifiedBy>Gerald Begeman</cp:lastModifiedBy>
  <cp:revision>11</cp:revision>
  <dcterms:created xsi:type="dcterms:W3CDTF">2013-07-18T22:45:00Z</dcterms:created>
  <dcterms:modified xsi:type="dcterms:W3CDTF">2013-07-22T16:31:00Z</dcterms:modified>
</cp:coreProperties>
</file>