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57"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1866"/>
        <w:gridCol w:w="5349"/>
        <w:gridCol w:w="1842"/>
      </w:tblGrid>
      <w:tr w:rsidR="004E5065" w:rsidRPr="00831E57" w14:paraId="0CD30F56" w14:textId="77777777" w:rsidTr="00152F33">
        <w:tc>
          <w:tcPr>
            <w:tcW w:w="1866" w:type="dxa"/>
          </w:tcPr>
          <w:p w14:paraId="222F5338" w14:textId="77777777" w:rsidR="006E49A1" w:rsidRPr="00831E57" w:rsidRDefault="006E49A1" w:rsidP="00831E57">
            <w:pPr>
              <w:spacing w:after="120"/>
              <w:jc w:val="center"/>
              <w:rPr>
                <w:rFonts w:asciiTheme="minorHAnsi" w:hAnsiTheme="minorHAnsi" w:cstheme="minorHAnsi"/>
                <w:b/>
                <w:sz w:val="22"/>
                <w:szCs w:val="22"/>
              </w:rPr>
            </w:pPr>
            <w:r w:rsidRPr="00831E57">
              <w:rPr>
                <w:rFonts w:cstheme="minorHAnsi"/>
                <w:noProof/>
                <w:lang w:eastAsia="zh-CN"/>
              </w:rPr>
              <w:drawing>
                <wp:inline distT="0" distB="0" distL="0" distR="0" wp14:anchorId="5AF43FD8" wp14:editId="67422353">
                  <wp:extent cx="1028700" cy="1000125"/>
                  <wp:effectExtent l="19050" t="0" r="0" b="0"/>
                  <wp:docPr id="12" name="Picture 12" descr="C:\Users\CESA\Downloads\image002.jpg"/>
                  <wp:cNvGraphicFramePr/>
                  <a:graphic xmlns:a="http://schemas.openxmlformats.org/drawingml/2006/main">
                    <a:graphicData uri="http://schemas.openxmlformats.org/drawingml/2006/picture">
                      <pic:pic xmlns:pic="http://schemas.openxmlformats.org/drawingml/2006/picture">
                        <pic:nvPicPr>
                          <pic:cNvPr id="12" name="Picture 12" descr="C:\Users\CESA\Downloads\image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c>
        <w:tc>
          <w:tcPr>
            <w:tcW w:w="5349" w:type="dxa"/>
          </w:tcPr>
          <w:p w14:paraId="0C986017" w14:textId="77777777" w:rsidR="006E49A1" w:rsidRPr="00831E57" w:rsidRDefault="006E49A1" w:rsidP="00831E57">
            <w:pPr>
              <w:spacing w:after="120"/>
              <w:jc w:val="center"/>
              <w:rPr>
                <w:rFonts w:asciiTheme="minorHAnsi" w:hAnsiTheme="minorHAnsi" w:cstheme="minorHAnsi"/>
                <w:b/>
                <w:color w:val="0070C0"/>
                <w:sz w:val="32"/>
                <w:szCs w:val="32"/>
              </w:rPr>
            </w:pPr>
          </w:p>
          <w:p w14:paraId="4CAB168A" w14:textId="77777777" w:rsidR="006E49A1" w:rsidRPr="00831E57" w:rsidRDefault="006E49A1" w:rsidP="00831E57">
            <w:pPr>
              <w:spacing w:after="120"/>
              <w:jc w:val="center"/>
              <w:rPr>
                <w:rFonts w:asciiTheme="minorHAnsi" w:hAnsiTheme="minorHAnsi" w:cstheme="minorHAnsi"/>
                <w:b/>
                <w:color w:val="0070C0"/>
                <w:sz w:val="24"/>
                <w:szCs w:val="24"/>
              </w:rPr>
            </w:pPr>
            <w:r w:rsidRPr="00831E57">
              <w:rPr>
                <w:rFonts w:asciiTheme="minorHAnsi" w:hAnsiTheme="minorHAnsi" w:cstheme="minorHAnsi"/>
                <w:b/>
                <w:color w:val="0070C0"/>
                <w:sz w:val="24"/>
                <w:szCs w:val="24"/>
              </w:rPr>
              <w:t>COMMERCIAL EDUCATION SOCIETY OF AUSTRALIA</w:t>
            </w:r>
          </w:p>
          <w:p w14:paraId="5A8C9136" w14:textId="50BEA893" w:rsidR="006E49A1" w:rsidRPr="00831E57" w:rsidRDefault="006E49A1" w:rsidP="00831E57">
            <w:pPr>
              <w:spacing w:after="120"/>
              <w:jc w:val="center"/>
              <w:rPr>
                <w:rFonts w:asciiTheme="minorHAnsi" w:hAnsiTheme="minorHAnsi" w:cstheme="minorHAnsi"/>
                <w:b/>
                <w:color w:val="0070C0"/>
                <w:sz w:val="32"/>
                <w:szCs w:val="32"/>
              </w:rPr>
            </w:pPr>
            <w:r w:rsidRPr="00831E57">
              <w:rPr>
                <w:rFonts w:asciiTheme="minorHAnsi" w:hAnsiTheme="minorHAnsi" w:cstheme="minorHAnsi"/>
                <w:b/>
                <w:color w:val="0070C0"/>
                <w:sz w:val="32"/>
                <w:szCs w:val="32"/>
              </w:rPr>
              <w:t>PERIODIC DISCUSSION PAPER No.</w:t>
            </w:r>
            <w:r w:rsidR="00310F30">
              <w:rPr>
                <w:rFonts w:asciiTheme="minorHAnsi" w:hAnsiTheme="minorHAnsi" w:cstheme="minorHAnsi"/>
                <w:b/>
                <w:color w:val="0070C0"/>
                <w:sz w:val="32"/>
                <w:szCs w:val="32"/>
              </w:rPr>
              <w:t>5</w:t>
            </w:r>
            <w:r w:rsidR="00BF0C9B">
              <w:rPr>
                <w:rFonts w:asciiTheme="minorHAnsi" w:hAnsiTheme="minorHAnsi" w:cstheme="minorHAnsi"/>
                <w:b/>
                <w:color w:val="0070C0"/>
                <w:sz w:val="32"/>
                <w:szCs w:val="32"/>
              </w:rPr>
              <w:t>7</w:t>
            </w:r>
            <w:r w:rsidRPr="00831E57">
              <w:rPr>
                <w:rStyle w:val="FootnoteReference"/>
                <w:rFonts w:asciiTheme="minorHAnsi" w:hAnsiTheme="minorHAnsi" w:cstheme="minorHAnsi"/>
                <w:b/>
                <w:color w:val="0070C0"/>
                <w:sz w:val="32"/>
                <w:szCs w:val="32"/>
              </w:rPr>
              <w:footnoteReference w:customMarkFollows="1" w:id="1"/>
              <w:sym w:font="Symbol" w:char="F02A"/>
            </w:r>
          </w:p>
        </w:tc>
        <w:tc>
          <w:tcPr>
            <w:tcW w:w="1842" w:type="dxa"/>
          </w:tcPr>
          <w:p w14:paraId="5DAB9FBA" w14:textId="77777777" w:rsidR="006E49A1" w:rsidRPr="00F615A3" w:rsidRDefault="006E49A1" w:rsidP="00831E57">
            <w:pPr>
              <w:spacing w:after="120"/>
              <w:jc w:val="center"/>
              <w:rPr>
                <w:rFonts w:asciiTheme="minorHAnsi" w:hAnsiTheme="minorHAnsi" w:cstheme="minorHAnsi"/>
                <w:b/>
                <w:color w:val="00B0F0"/>
                <w:sz w:val="28"/>
                <w:szCs w:val="28"/>
              </w:rPr>
            </w:pPr>
          </w:p>
          <w:p w14:paraId="12232E41" w14:textId="4C328E50" w:rsidR="0011012A" w:rsidRPr="00831E57" w:rsidRDefault="00BF0C9B" w:rsidP="00831E57">
            <w:pPr>
              <w:spacing w:after="120"/>
              <w:jc w:val="center"/>
              <w:rPr>
                <w:rFonts w:asciiTheme="minorHAnsi" w:hAnsiTheme="minorHAnsi" w:cstheme="minorHAnsi"/>
                <w:b/>
                <w:color w:val="0070C0"/>
                <w:sz w:val="32"/>
                <w:szCs w:val="32"/>
              </w:rPr>
            </w:pPr>
            <w:r>
              <w:rPr>
                <w:rFonts w:asciiTheme="minorHAnsi" w:hAnsiTheme="minorHAnsi" w:cstheme="minorHAnsi"/>
                <w:b/>
                <w:color w:val="0070C0"/>
                <w:sz w:val="32"/>
                <w:szCs w:val="32"/>
              </w:rPr>
              <w:t>Dec</w:t>
            </w:r>
            <w:r w:rsidR="00376FC1">
              <w:rPr>
                <w:rFonts w:asciiTheme="minorHAnsi" w:hAnsiTheme="minorHAnsi" w:cstheme="minorHAnsi"/>
                <w:b/>
                <w:color w:val="0070C0"/>
                <w:sz w:val="32"/>
                <w:szCs w:val="32"/>
              </w:rPr>
              <w:t>em</w:t>
            </w:r>
            <w:r w:rsidR="00152F33">
              <w:rPr>
                <w:rFonts w:asciiTheme="minorHAnsi" w:hAnsiTheme="minorHAnsi" w:cstheme="minorHAnsi"/>
                <w:b/>
                <w:color w:val="0070C0"/>
                <w:sz w:val="32"/>
                <w:szCs w:val="32"/>
              </w:rPr>
              <w:t>ber</w:t>
            </w:r>
          </w:p>
          <w:p w14:paraId="6A885FE0" w14:textId="47EDA288" w:rsidR="006E49A1" w:rsidRPr="00831E57" w:rsidRDefault="00721CB6" w:rsidP="00831E57">
            <w:pPr>
              <w:spacing w:after="120"/>
              <w:jc w:val="center"/>
              <w:rPr>
                <w:rFonts w:asciiTheme="minorHAnsi" w:hAnsiTheme="minorHAnsi" w:cstheme="minorHAnsi"/>
                <w:b/>
                <w:color w:val="00B0F0"/>
                <w:sz w:val="32"/>
                <w:szCs w:val="32"/>
              </w:rPr>
            </w:pPr>
            <w:r w:rsidRPr="00831E57">
              <w:rPr>
                <w:rFonts w:asciiTheme="minorHAnsi" w:hAnsiTheme="minorHAnsi" w:cstheme="minorHAnsi"/>
                <w:b/>
                <w:color w:val="0070C0"/>
                <w:sz w:val="32"/>
                <w:szCs w:val="32"/>
              </w:rPr>
              <w:t>202</w:t>
            </w:r>
            <w:r w:rsidR="000F1764">
              <w:rPr>
                <w:rFonts w:asciiTheme="minorHAnsi" w:hAnsiTheme="minorHAnsi" w:cstheme="minorHAnsi"/>
                <w:b/>
                <w:color w:val="0070C0"/>
                <w:sz w:val="32"/>
                <w:szCs w:val="32"/>
              </w:rPr>
              <w:t>3</w:t>
            </w:r>
          </w:p>
        </w:tc>
      </w:tr>
    </w:tbl>
    <w:p w14:paraId="423EAF75" w14:textId="77777777" w:rsidR="00376FC1" w:rsidRPr="00376FC1" w:rsidRDefault="00376FC1" w:rsidP="00376FC1">
      <w:pPr>
        <w:jc w:val="center"/>
        <w:rPr>
          <w:rFonts w:ascii="Times New Roman" w:hAnsi="Times New Roman" w:cs="Times New Roman"/>
          <w:b/>
          <w:bCs/>
          <w:color w:val="0070C0"/>
          <w:sz w:val="4"/>
          <w:szCs w:val="4"/>
        </w:rPr>
      </w:pPr>
    </w:p>
    <w:p w14:paraId="3127E421" w14:textId="77777777" w:rsidR="00BF0C9B" w:rsidRPr="00BF0C9B" w:rsidRDefault="00BF0C9B" w:rsidP="00BF0C9B">
      <w:pPr>
        <w:shd w:val="clear" w:color="auto" w:fill="FFFFFF"/>
        <w:jc w:val="center"/>
        <w:outlineLvl w:val="0"/>
        <w:rPr>
          <w:rFonts w:ascii="Calibri" w:hAnsi="Calibri" w:cs="Arial"/>
          <w:b/>
          <w:color w:val="0070C0"/>
          <w:kern w:val="36"/>
          <w:sz w:val="32"/>
          <w:szCs w:val="32"/>
        </w:rPr>
      </w:pPr>
      <w:r w:rsidRPr="00BF0C9B">
        <w:rPr>
          <w:rFonts w:ascii="Calibri" w:hAnsi="Calibri" w:cs="Arial"/>
          <w:b/>
          <w:color w:val="0070C0"/>
          <w:kern w:val="36"/>
          <w:sz w:val="32"/>
          <w:szCs w:val="32"/>
        </w:rPr>
        <w:t>RECONSIDERING, REPOSITIONING, REACTIVATING SCHOLARSHIP</w:t>
      </w:r>
    </w:p>
    <w:p w14:paraId="3940BE28" w14:textId="77777777" w:rsidR="00BF0C9B" w:rsidRPr="00BF0C9B" w:rsidRDefault="00BF0C9B" w:rsidP="00BF0C9B">
      <w:pPr>
        <w:jc w:val="center"/>
        <w:rPr>
          <w:rFonts w:ascii="Calibri" w:hAnsi="Calibri" w:cs="Arial"/>
          <w:b/>
          <w:i/>
          <w:iCs/>
          <w:color w:val="0070C0"/>
          <w:sz w:val="28"/>
          <w:szCs w:val="28"/>
          <w:lang w:eastAsia="en-AU"/>
        </w:rPr>
      </w:pPr>
      <w:r w:rsidRPr="00BF0C9B">
        <w:rPr>
          <w:rFonts w:ascii="Calibri" w:hAnsi="Calibri" w:cs="Arial"/>
          <w:b/>
          <w:color w:val="0070C0"/>
          <w:sz w:val="28"/>
          <w:szCs w:val="28"/>
          <w:lang w:eastAsia="en-AU"/>
        </w:rPr>
        <w:t xml:space="preserve">Emeritus Professor Tony Shannon </w:t>
      </w:r>
      <w:r w:rsidRPr="00BF0C9B">
        <w:rPr>
          <w:rFonts w:ascii="Calibri" w:hAnsi="Calibri" w:cs="Arial"/>
          <w:b/>
          <w:i/>
          <w:iCs/>
          <w:color w:val="0070C0"/>
          <w:sz w:val="28"/>
          <w:szCs w:val="28"/>
          <w:lang w:eastAsia="en-AU"/>
        </w:rPr>
        <w:t>AM</w:t>
      </w:r>
    </w:p>
    <w:p w14:paraId="03CBE92A" w14:textId="77777777" w:rsidR="00BF0C9B" w:rsidRPr="00BF0C9B" w:rsidRDefault="00BF0C9B" w:rsidP="00BF0C9B">
      <w:pPr>
        <w:pBdr>
          <w:bottom w:val="single" w:sz="12" w:space="1" w:color="auto"/>
        </w:pBdr>
        <w:jc w:val="center"/>
        <w:rPr>
          <w:rFonts w:ascii="Calibri" w:hAnsi="Calibri" w:cs="Arial"/>
          <w:b/>
          <w:i/>
          <w:iCs/>
          <w:color w:val="C00000"/>
          <w:sz w:val="4"/>
          <w:szCs w:val="4"/>
          <w:lang w:eastAsia="en-AU"/>
        </w:rPr>
      </w:pPr>
    </w:p>
    <w:p w14:paraId="1F8ED8B9" w14:textId="77777777" w:rsidR="00BF0C9B" w:rsidRDefault="00BF0C9B" w:rsidP="00BF0C9B">
      <w:pPr>
        <w:shd w:val="clear" w:color="auto" w:fill="FFFFFF"/>
        <w:outlineLvl w:val="0"/>
        <w:rPr>
          <w:rFonts w:ascii="Calibri" w:hAnsi="Calibri" w:cs="Arial"/>
          <w:b/>
          <w:color w:val="111111"/>
          <w:kern w:val="36"/>
        </w:rPr>
      </w:pPr>
      <w:r w:rsidRPr="00630D7F">
        <w:rPr>
          <w:rFonts w:ascii="Calibri" w:hAnsi="Calibri" w:cs="Arial"/>
          <w:b/>
          <w:color w:val="111111"/>
          <w:kern w:val="36"/>
        </w:rPr>
        <w:t xml:space="preserve">Introduction: </w:t>
      </w:r>
    </w:p>
    <w:p w14:paraId="461CE8A7" w14:textId="69F4F6FD" w:rsidR="00BF0C9B" w:rsidRDefault="00BF0C9B" w:rsidP="00BF0C9B">
      <w:pPr>
        <w:shd w:val="clear" w:color="auto" w:fill="FFFFFF"/>
        <w:jc w:val="both"/>
        <w:outlineLvl w:val="0"/>
        <w:rPr>
          <w:rFonts w:ascii="Calibri" w:hAnsi="Calibri" w:cs="Arial"/>
          <w:bCs/>
          <w:color w:val="111111"/>
          <w:kern w:val="36"/>
        </w:rPr>
      </w:pPr>
      <w:r>
        <w:rPr>
          <w:rFonts w:ascii="Calibri" w:hAnsi="Calibri" w:cs="Arial"/>
          <w:bCs/>
          <w:color w:val="111111"/>
          <w:kern w:val="36"/>
        </w:rPr>
        <w:t xml:space="preserve">Most professional people take sufficient pride in their work to want to keep developing in their professions. Many professions require ongoing development in order for members to retain their registration. </w:t>
      </w:r>
      <w:r w:rsidRPr="00437F19">
        <w:rPr>
          <w:rFonts w:ascii="Calibri" w:hAnsi="Calibri" w:cs="Arial"/>
          <w:bCs/>
          <w:color w:val="111111"/>
          <w:kern w:val="36"/>
        </w:rPr>
        <w:t>Government</w:t>
      </w:r>
      <w:r>
        <w:rPr>
          <w:rFonts w:ascii="Calibri" w:hAnsi="Calibri" w:cs="Arial"/>
          <w:bCs/>
          <w:color w:val="111111"/>
          <w:kern w:val="36"/>
        </w:rPr>
        <w:t xml:space="preserve"> approved regulators of higher education in many reputable jurisdictions round the world require continuing professional development of all staff</w:t>
      </w:r>
      <w:r w:rsidR="00C73872">
        <w:rPr>
          <w:rFonts w:ascii="Calibri" w:hAnsi="Calibri" w:cs="Arial"/>
          <w:bCs/>
          <w:color w:val="111111"/>
          <w:kern w:val="36"/>
        </w:rPr>
        <w:t xml:space="preserve">. They also </w:t>
      </w:r>
      <w:r>
        <w:rPr>
          <w:rFonts w:ascii="Calibri" w:hAnsi="Calibri" w:cs="Arial"/>
          <w:bCs/>
          <w:color w:val="111111"/>
          <w:kern w:val="36"/>
        </w:rPr>
        <w:t xml:space="preserve">insist on scholarly activity which informs the teaching of academic staff. These </w:t>
      </w:r>
      <w:r w:rsidR="00C73872">
        <w:rPr>
          <w:rFonts w:ascii="Calibri" w:hAnsi="Calibri" w:cs="Arial"/>
          <w:bCs/>
          <w:color w:val="111111"/>
          <w:kern w:val="36"/>
        </w:rPr>
        <w:t xml:space="preserve">requirements </w:t>
      </w:r>
      <w:r>
        <w:rPr>
          <w:rFonts w:ascii="Calibri" w:hAnsi="Calibri" w:cs="Arial"/>
          <w:bCs/>
          <w:color w:val="111111"/>
          <w:kern w:val="36"/>
        </w:rPr>
        <w:t xml:space="preserve">can often </w:t>
      </w:r>
      <w:r w:rsidR="00C73872">
        <w:rPr>
          <w:rFonts w:ascii="Calibri" w:hAnsi="Calibri" w:cs="Arial"/>
          <w:bCs/>
          <w:color w:val="111111"/>
          <w:kern w:val="36"/>
        </w:rPr>
        <w:t xml:space="preserve">be </w:t>
      </w:r>
      <w:r>
        <w:rPr>
          <w:rFonts w:ascii="Calibri" w:hAnsi="Calibri" w:cs="Arial"/>
          <w:bCs/>
          <w:color w:val="111111"/>
          <w:kern w:val="36"/>
        </w:rPr>
        <w:t>honoured in their breach</w:t>
      </w:r>
      <w:r w:rsidR="00C73872">
        <w:rPr>
          <w:rFonts w:ascii="Calibri" w:hAnsi="Calibri" w:cs="Arial"/>
          <w:bCs/>
          <w:color w:val="111111"/>
          <w:kern w:val="36"/>
        </w:rPr>
        <w:t xml:space="preserve">, </w:t>
      </w:r>
      <w:r>
        <w:rPr>
          <w:rFonts w:ascii="Calibri" w:hAnsi="Calibri" w:cs="Arial"/>
          <w:bCs/>
          <w:color w:val="111111"/>
          <w:kern w:val="36"/>
        </w:rPr>
        <w:t>especially with sessional staff who work in more than one higher education institute.</w:t>
      </w:r>
    </w:p>
    <w:p w14:paraId="157E397C" w14:textId="378343A3" w:rsidR="00BF0C9B" w:rsidRDefault="00BF0C9B" w:rsidP="00C73872">
      <w:pPr>
        <w:shd w:val="clear" w:color="auto" w:fill="FFFFFF"/>
        <w:jc w:val="both"/>
        <w:outlineLvl w:val="0"/>
        <w:rPr>
          <w:rFonts w:ascii="Calibri" w:hAnsi="Calibri" w:cs="Arial"/>
          <w:bCs/>
          <w:color w:val="111111"/>
          <w:kern w:val="36"/>
        </w:rPr>
      </w:pPr>
      <w:r>
        <w:rPr>
          <w:rFonts w:ascii="Calibri" w:hAnsi="Calibri" w:cs="Arial"/>
          <w:bCs/>
          <w:color w:val="111111"/>
          <w:kern w:val="36"/>
        </w:rPr>
        <w:t xml:space="preserve">For such staff, </w:t>
      </w:r>
      <w:r w:rsidR="00C73872">
        <w:rPr>
          <w:rFonts w:ascii="Calibri" w:hAnsi="Calibri" w:cs="Arial"/>
          <w:bCs/>
          <w:color w:val="111111"/>
          <w:kern w:val="36"/>
        </w:rPr>
        <w:t>there are a number of pressures which conspire to prevent time for scholarly activity. Some examples are preparation</w:t>
      </w:r>
      <w:r>
        <w:rPr>
          <w:rFonts w:ascii="Calibri" w:hAnsi="Calibri" w:cs="Arial"/>
          <w:bCs/>
          <w:color w:val="111111"/>
          <w:kern w:val="36"/>
        </w:rPr>
        <w:t xml:space="preserve"> of class material to suit the learning outcomes of a subject in each </w:t>
      </w:r>
      <w:r w:rsidR="00C73872">
        <w:rPr>
          <w:rFonts w:ascii="Calibri" w:hAnsi="Calibri" w:cs="Arial"/>
          <w:bCs/>
          <w:color w:val="111111"/>
          <w:kern w:val="36"/>
        </w:rPr>
        <w:t xml:space="preserve">institution, </w:t>
      </w:r>
      <w:r>
        <w:rPr>
          <w:rFonts w:ascii="Calibri" w:hAnsi="Calibri" w:cs="Arial"/>
          <w:bCs/>
          <w:color w:val="111111"/>
          <w:kern w:val="36"/>
        </w:rPr>
        <w:t>the follow-up marking of student work</w:t>
      </w:r>
      <w:r w:rsidR="00C73872">
        <w:rPr>
          <w:rFonts w:ascii="Calibri" w:hAnsi="Calibri" w:cs="Arial"/>
          <w:bCs/>
          <w:color w:val="111111"/>
          <w:kern w:val="36"/>
        </w:rPr>
        <w:t xml:space="preserve"> and being ‘always available’ for students’ </w:t>
      </w:r>
      <w:r>
        <w:rPr>
          <w:rFonts w:ascii="Calibri" w:hAnsi="Calibri" w:cs="Arial"/>
          <w:bCs/>
          <w:color w:val="111111"/>
          <w:kern w:val="36"/>
        </w:rPr>
        <w:t xml:space="preserve">questions </w:t>
      </w:r>
      <w:r w:rsidR="00C73872">
        <w:rPr>
          <w:rFonts w:ascii="Calibri" w:hAnsi="Calibri" w:cs="Arial"/>
          <w:bCs/>
          <w:color w:val="111111"/>
          <w:kern w:val="36"/>
        </w:rPr>
        <w:t>via</w:t>
      </w:r>
      <w:r>
        <w:rPr>
          <w:rFonts w:ascii="Calibri" w:hAnsi="Calibri" w:cs="Arial"/>
          <w:bCs/>
          <w:color w:val="111111"/>
          <w:kern w:val="36"/>
        </w:rPr>
        <w:t xml:space="preserve"> email. We shall consider three aspects of this </w:t>
      </w:r>
      <w:r w:rsidR="00C73872">
        <w:rPr>
          <w:rFonts w:ascii="Calibri" w:hAnsi="Calibri" w:cs="Arial"/>
          <w:bCs/>
          <w:color w:val="111111"/>
          <w:kern w:val="36"/>
        </w:rPr>
        <w:t xml:space="preserve">issue </w:t>
      </w:r>
      <w:r>
        <w:rPr>
          <w:rFonts w:ascii="Calibri" w:hAnsi="Calibri" w:cs="Arial"/>
          <w:bCs/>
          <w:color w:val="111111"/>
          <w:kern w:val="36"/>
        </w:rPr>
        <w:t>here, namely</w:t>
      </w:r>
      <w:r w:rsidR="00C73872">
        <w:rPr>
          <w:rFonts w:ascii="Calibri" w:hAnsi="Calibri" w:cs="Arial"/>
          <w:bCs/>
          <w:color w:val="111111"/>
          <w:kern w:val="36"/>
        </w:rPr>
        <w:t>:</w:t>
      </w:r>
    </w:p>
    <w:p w14:paraId="267005C4" w14:textId="77777777" w:rsidR="00BF0C9B" w:rsidRDefault="00BF0C9B" w:rsidP="00F5671F">
      <w:pPr>
        <w:numPr>
          <w:ilvl w:val="0"/>
          <w:numId w:val="15"/>
        </w:numPr>
        <w:shd w:val="clear" w:color="auto" w:fill="FFFFFF"/>
        <w:spacing w:after="0" w:line="240" w:lineRule="auto"/>
        <w:jc w:val="both"/>
        <w:outlineLvl w:val="0"/>
        <w:rPr>
          <w:rFonts w:ascii="Calibri" w:hAnsi="Calibri" w:cs="Arial"/>
          <w:bCs/>
          <w:color w:val="111111"/>
          <w:kern w:val="36"/>
        </w:rPr>
      </w:pPr>
      <w:r>
        <w:rPr>
          <w:rFonts w:ascii="Calibri" w:hAnsi="Calibri" w:cs="Arial"/>
          <w:bCs/>
          <w:color w:val="111111"/>
          <w:kern w:val="36"/>
        </w:rPr>
        <w:t>Types of causality;</w:t>
      </w:r>
    </w:p>
    <w:p w14:paraId="329A0120" w14:textId="13CF1C2F" w:rsidR="00BF0C9B" w:rsidRDefault="00BF0C9B" w:rsidP="00F5671F">
      <w:pPr>
        <w:numPr>
          <w:ilvl w:val="0"/>
          <w:numId w:val="15"/>
        </w:numPr>
        <w:shd w:val="clear" w:color="auto" w:fill="FFFFFF"/>
        <w:spacing w:after="0" w:line="240" w:lineRule="auto"/>
        <w:jc w:val="both"/>
        <w:outlineLvl w:val="0"/>
        <w:rPr>
          <w:rFonts w:ascii="Calibri" w:hAnsi="Calibri" w:cs="Arial"/>
          <w:bCs/>
          <w:color w:val="111111"/>
          <w:kern w:val="36"/>
        </w:rPr>
      </w:pPr>
      <w:r>
        <w:rPr>
          <w:rFonts w:ascii="Calibri" w:hAnsi="Calibri" w:cs="Arial"/>
          <w:bCs/>
          <w:color w:val="111111"/>
          <w:kern w:val="36"/>
        </w:rPr>
        <w:t>Vander Weele’s quantitative social science</w:t>
      </w:r>
      <w:r w:rsidR="003C5C4B">
        <w:rPr>
          <w:rFonts w:ascii="Calibri" w:hAnsi="Calibri" w:cs="Arial"/>
          <w:bCs/>
          <w:color w:val="111111"/>
          <w:kern w:val="36"/>
        </w:rPr>
        <w:t>;</w:t>
      </w:r>
    </w:p>
    <w:p w14:paraId="592A090E" w14:textId="676F413B" w:rsidR="00BF0C9B" w:rsidRDefault="00BF0C9B" w:rsidP="00F5671F">
      <w:pPr>
        <w:numPr>
          <w:ilvl w:val="0"/>
          <w:numId w:val="15"/>
        </w:numPr>
        <w:shd w:val="clear" w:color="auto" w:fill="FFFFFF"/>
        <w:spacing w:after="0" w:line="240" w:lineRule="auto"/>
        <w:jc w:val="both"/>
        <w:outlineLvl w:val="0"/>
        <w:rPr>
          <w:rFonts w:ascii="Calibri" w:hAnsi="Calibri" w:cs="Arial"/>
          <w:bCs/>
          <w:color w:val="111111"/>
          <w:kern w:val="36"/>
        </w:rPr>
      </w:pPr>
      <w:r>
        <w:rPr>
          <w:rFonts w:ascii="Calibri" w:hAnsi="Calibri" w:cs="Arial"/>
          <w:bCs/>
          <w:color w:val="111111"/>
          <w:kern w:val="36"/>
        </w:rPr>
        <w:t>Boyer’s model of scholarship</w:t>
      </w:r>
    </w:p>
    <w:p w14:paraId="18941DCC" w14:textId="77777777" w:rsidR="00C73872" w:rsidRDefault="00C73872" w:rsidP="00BF0C9B">
      <w:pPr>
        <w:shd w:val="clear" w:color="auto" w:fill="FFFFFF"/>
        <w:jc w:val="both"/>
        <w:outlineLvl w:val="0"/>
        <w:rPr>
          <w:rFonts w:ascii="Calibri" w:hAnsi="Calibri" w:cs="Arial"/>
          <w:bCs/>
          <w:color w:val="111111"/>
          <w:kern w:val="36"/>
        </w:rPr>
      </w:pPr>
    </w:p>
    <w:p w14:paraId="243CD1C5" w14:textId="32BEC4D8" w:rsidR="00BF0C9B" w:rsidRDefault="003C5C4B" w:rsidP="00BF0C9B">
      <w:pPr>
        <w:shd w:val="clear" w:color="auto" w:fill="FFFFFF"/>
        <w:jc w:val="both"/>
        <w:outlineLvl w:val="0"/>
        <w:rPr>
          <w:rFonts w:ascii="Calibri" w:hAnsi="Calibri" w:cs="Arial"/>
          <w:bCs/>
          <w:color w:val="111111"/>
          <w:kern w:val="36"/>
        </w:rPr>
      </w:pPr>
      <w:r>
        <w:rPr>
          <w:rFonts w:ascii="Calibri" w:hAnsi="Calibri" w:cs="Arial"/>
          <w:bCs/>
          <w:color w:val="111111"/>
          <w:kern w:val="36"/>
        </w:rPr>
        <w:t>To</w:t>
      </w:r>
      <w:r w:rsidR="00BF0C9B">
        <w:rPr>
          <w:rFonts w:ascii="Calibri" w:hAnsi="Calibri" w:cs="Arial"/>
          <w:bCs/>
          <w:color w:val="111111"/>
          <w:kern w:val="36"/>
        </w:rPr>
        <w:t xml:space="preserve"> realistically </w:t>
      </w:r>
      <w:r>
        <w:rPr>
          <w:rFonts w:ascii="Calibri" w:hAnsi="Calibri" w:cs="Arial"/>
          <w:bCs/>
          <w:color w:val="111111"/>
          <w:kern w:val="36"/>
        </w:rPr>
        <w:t>revive</w:t>
      </w:r>
      <w:r>
        <w:rPr>
          <w:rFonts w:ascii="Calibri" w:hAnsi="Calibri" w:cs="Arial"/>
          <w:bCs/>
          <w:color w:val="111111"/>
          <w:kern w:val="36"/>
        </w:rPr>
        <w:t xml:space="preserve"> </w:t>
      </w:r>
      <w:r w:rsidR="00BF0C9B">
        <w:rPr>
          <w:rFonts w:ascii="Calibri" w:hAnsi="Calibri" w:cs="Arial"/>
          <w:bCs/>
          <w:color w:val="111111"/>
          <w:kern w:val="36"/>
        </w:rPr>
        <w:t>professional prestige, one needs a realistic strategy:</w:t>
      </w:r>
    </w:p>
    <w:p w14:paraId="4C483B52" w14:textId="77777777" w:rsidR="00BF0C9B" w:rsidRDefault="00BF0C9B" w:rsidP="00F5671F">
      <w:pPr>
        <w:numPr>
          <w:ilvl w:val="0"/>
          <w:numId w:val="16"/>
        </w:numPr>
        <w:shd w:val="clear" w:color="auto" w:fill="FFFFFF"/>
        <w:spacing w:after="0" w:line="240" w:lineRule="auto"/>
        <w:outlineLvl w:val="0"/>
        <w:rPr>
          <w:rFonts w:ascii="Calibri" w:hAnsi="Calibri" w:cs="Arial"/>
          <w:bCs/>
          <w:color w:val="111111"/>
          <w:kern w:val="36"/>
        </w:rPr>
      </w:pPr>
      <w:r>
        <w:rPr>
          <w:rFonts w:ascii="Calibri" w:hAnsi="Calibri" w:cs="Arial"/>
          <w:bCs/>
          <w:color w:val="111111"/>
          <w:kern w:val="36"/>
        </w:rPr>
        <w:t>Two hours on three days per week?</w:t>
      </w:r>
    </w:p>
    <w:p w14:paraId="0A18A0F1" w14:textId="77777777" w:rsidR="00BF0C9B" w:rsidRDefault="00BF0C9B" w:rsidP="00F5671F">
      <w:pPr>
        <w:numPr>
          <w:ilvl w:val="0"/>
          <w:numId w:val="16"/>
        </w:numPr>
        <w:shd w:val="clear" w:color="auto" w:fill="FFFFFF"/>
        <w:spacing w:after="0" w:line="240" w:lineRule="auto"/>
        <w:outlineLvl w:val="0"/>
        <w:rPr>
          <w:rFonts w:ascii="Calibri" w:hAnsi="Calibri" w:cs="Arial"/>
          <w:bCs/>
          <w:color w:val="111111"/>
          <w:kern w:val="36"/>
        </w:rPr>
      </w:pPr>
      <w:r>
        <w:rPr>
          <w:rFonts w:ascii="Calibri" w:hAnsi="Calibri" w:cs="Arial"/>
          <w:bCs/>
          <w:color w:val="111111"/>
          <w:kern w:val="36"/>
        </w:rPr>
        <w:t>Higher education book reviews for colleagues?</w:t>
      </w:r>
    </w:p>
    <w:p w14:paraId="6DE30375" w14:textId="77777777" w:rsidR="00BF0C9B" w:rsidRDefault="00BF0C9B" w:rsidP="00F5671F">
      <w:pPr>
        <w:numPr>
          <w:ilvl w:val="0"/>
          <w:numId w:val="16"/>
        </w:numPr>
        <w:shd w:val="clear" w:color="auto" w:fill="FFFFFF"/>
        <w:spacing w:after="0" w:line="240" w:lineRule="auto"/>
        <w:outlineLvl w:val="0"/>
        <w:rPr>
          <w:rFonts w:ascii="Calibri" w:hAnsi="Calibri" w:cs="Arial"/>
          <w:bCs/>
          <w:color w:val="111111"/>
          <w:kern w:val="36"/>
        </w:rPr>
      </w:pPr>
      <w:r>
        <w:rPr>
          <w:rFonts w:ascii="Calibri" w:hAnsi="Calibri" w:cs="Arial"/>
          <w:bCs/>
          <w:color w:val="111111"/>
          <w:kern w:val="36"/>
        </w:rPr>
        <w:t>Micro-credentials?</w:t>
      </w:r>
    </w:p>
    <w:p w14:paraId="39088B67" w14:textId="77777777" w:rsidR="00BF0C9B" w:rsidRDefault="00BF0C9B" w:rsidP="00F5671F">
      <w:pPr>
        <w:numPr>
          <w:ilvl w:val="0"/>
          <w:numId w:val="16"/>
        </w:numPr>
        <w:shd w:val="clear" w:color="auto" w:fill="FFFFFF"/>
        <w:spacing w:after="0" w:line="240" w:lineRule="auto"/>
        <w:outlineLvl w:val="0"/>
        <w:rPr>
          <w:rFonts w:ascii="Calibri" w:hAnsi="Calibri" w:cs="Arial"/>
          <w:bCs/>
          <w:color w:val="111111"/>
          <w:kern w:val="36"/>
        </w:rPr>
      </w:pPr>
      <w:r>
        <w:rPr>
          <w:rFonts w:ascii="Calibri" w:hAnsi="Calibri" w:cs="Arial"/>
          <w:bCs/>
          <w:color w:val="111111"/>
          <w:kern w:val="36"/>
        </w:rPr>
        <w:t>Adult education efficient reading and writing courses?</w:t>
      </w:r>
    </w:p>
    <w:p w14:paraId="17D8B77A" w14:textId="77777777" w:rsidR="00BF0C9B" w:rsidRDefault="00BF0C9B" w:rsidP="00F5671F">
      <w:pPr>
        <w:numPr>
          <w:ilvl w:val="0"/>
          <w:numId w:val="16"/>
        </w:numPr>
        <w:shd w:val="clear" w:color="auto" w:fill="FFFFFF"/>
        <w:spacing w:after="0" w:line="240" w:lineRule="auto"/>
        <w:outlineLvl w:val="0"/>
        <w:rPr>
          <w:rFonts w:ascii="Calibri" w:hAnsi="Calibri" w:cs="Arial"/>
          <w:bCs/>
          <w:color w:val="111111"/>
          <w:kern w:val="36"/>
        </w:rPr>
      </w:pPr>
      <w:r>
        <w:rPr>
          <w:rFonts w:ascii="Calibri" w:hAnsi="Calibri" w:cs="Arial"/>
          <w:bCs/>
          <w:color w:val="111111"/>
          <w:kern w:val="36"/>
        </w:rPr>
        <w:t>Enrolling in a Graduate Certificate?</w:t>
      </w:r>
    </w:p>
    <w:p w14:paraId="70037A9D" w14:textId="77777777" w:rsidR="00BF0C9B" w:rsidRDefault="00BF0C9B" w:rsidP="00F5671F">
      <w:pPr>
        <w:numPr>
          <w:ilvl w:val="0"/>
          <w:numId w:val="16"/>
        </w:numPr>
        <w:shd w:val="clear" w:color="auto" w:fill="FFFFFF"/>
        <w:spacing w:after="0" w:line="240" w:lineRule="auto"/>
        <w:outlineLvl w:val="0"/>
        <w:rPr>
          <w:rFonts w:ascii="Calibri" w:hAnsi="Calibri" w:cs="Arial"/>
          <w:bCs/>
          <w:color w:val="111111"/>
          <w:kern w:val="36"/>
        </w:rPr>
      </w:pPr>
      <w:r>
        <w:rPr>
          <w:rFonts w:ascii="Calibri" w:hAnsi="Calibri" w:cs="Arial"/>
          <w:bCs/>
          <w:color w:val="111111"/>
          <w:kern w:val="36"/>
        </w:rPr>
        <w:t>Internal discussion papers?</w:t>
      </w:r>
    </w:p>
    <w:p w14:paraId="5083DB2F" w14:textId="77777777" w:rsidR="00BF0C9B" w:rsidRDefault="00BF0C9B" w:rsidP="00F5671F">
      <w:pPr>
        <w:numPr>
          <w:ilvl w:val="0"/>
          <w:numId w:val="16"/>
        </w:numPr>
        <w:shd w:val="clear" w:color="auto" w:fill="FFFFFF"/>
        <w:spacing w:after="0" w:line="240" w:lineRule="auto"/>
        <w:outlineLvl w:val="0"/>
        <w:rPr>
          <w:rFonts w:ascii="Calibri" w:hAnsi="Calibri" w:cs="Arial"/>
          <w:bCs/>
          <w:color w:val="111111"/>
          <w:kern w:val="36"/>
        </w:rPr>
      </w:pPr>
      <w:r>
        <w:rPr>
          <w:rFonts w:ascii="Calibri" w:hAnsi="Calibri" w:cs="Arial"/>
          <w:bCs/>
          <w:color w:val="111111"/>
          <w:kern w:val="36"/>
        </w:rPr>
        <w:t>External professional society contributions?</w:t>
      </w:r>
    </w:p>
    <w:p w14:paraId="1B4664E4" w14:textId="77777777" w:rsidR="003C5C4B" w:rsidRDefault="003C5C4B" w:rsidP="00BF0C9B">
      <w:pPr>
        <w:shd w:val="clear" w:color="auto" w:fill="FFFFFF"/>
        <w:jc w:val="both"/>
        <w:outlineLvl w:val="0"/>
        <w:rPr>
          <w:rFonts w:ascii="Calibri" w:hAnsi="Calibri" w:cs="Arial"/>
          <w:bCs/>
          <w:color w:val="111111"/>
          <w:kern w:val="36"/>
        </w:rPr>
      </w:pPr>
    </w:p>
    <w:p w14:paraId="5D68C7CB" w14:textId="37D2A6D8" w:rsidR="00BF0C9B" w:rsidRDefault="00BF0C9B" w:rsidP="00BF0C9B">
      <w:pPr>
        <w:shd w:val="clear" w:color="auto" w:fill="FFFFFF"/>
        <w:jc w:val="both"/>
        <w:outlineLvl w:val="0"/>
        <w:rPr>
          <w:rFonts w:ascii="Calibri" w:hAnsi="Calibri" w:cs="Arial"/>
          <w:bCs/>
          <w:color w:val="111111"/>
          <w:kern w:val="36"/>
        </w:rPr>
      </w:pPr>
      <w:r>
        <w:rPr>
          <w:rFonts w:ascii="Calibri" w:hAnsi="Calibri" w:cs="Arial"/>
          <w:bCs/>
          <w:color w:val="111111"/>
          <w:kern w:val="36"/>
        </w:rPr>
        <w:t>One of the reasons that the Royal Canadian Air Force 5BX and XBX exercise programs have survived for more than half a century is that they are realistic: only eleven minutes on three days per week: “wising is not good enough”!</w:t>
      </w:r>
      <w:r>
        <w:rPr>
          <w:rStyle w:val="EndnoteReference"/>
          <w:rFonts w:ascii="Calibri" w:hAnsi="Calibri"/>
          <w:bCs/>
          <w:color w:val="111111"/>
          <w:kern w:val="36"/>
        </w:rPr>
        <w:endnoteReference w:id="1"/>
      </w:r>
      <w:r>
        <w:rPr>
          <w:rFonts w:ascii="Calibri" w:hAnsi="Calibri" w:cs="Arial"/>
          <w:bCs/>
          <w:color w:val="111111"/>
          <w:kern w:val="36"/>
        </w:rPr>
        <w:t xml:space="preserve">. This is realistic, whereas seven days per week, or even five, is not. Fitness gymnasia can make money from those who drop out when they get discouraged. </w:t>
      </w:r>
      <w:r w:rsidR="005867B2">
        <w:rPr>
          <w:rFonts w:ascii="Calibri" w:hAnsi="Calibri" w:cs="Arial"/>
          <w:bCs/>
          <w:color w:val="111111"/>
          <w:kern w:val="36"/>
        </w:rPr>
        <w:t xml:space="preserve">Any plan that is developed needs to be adapted to </w:t>
      </w:r>
      <w:r w:rsidR="005867B2">
        <w:rPr>
          <w:rFonts w:ascii="Calibri" w:hAnsi="Calibri" w:cs="Arial"/>
          <w:bCs/>
          <w:color w:val="111111"/>
          <w:kern w:val="36"/>
        </w:rPr>
        <w:t xml:space="preserve">suit </w:t>
      </w:r>
      <w:r w:rsidR="005867B2">
        <w:rPr>
          <w:rFonts w:ascii="Calibri" w:hAnsi="Calibri" w:cs="Arial"/>
          <w:bCs/>
          <w:color w:val="111111"/>
          <w:kern w:val="36"/>
        </w:rPr>
        <w:t xml:space="preserve">one’s </w:t>
      </w:r>
      <w:r w:rsidR="005867B2">
        <w:rPr>
          <w:rFonts w:ascii="Calibri" w:hAnsi="Calibri" w:cs="Arial"/>
          <w:bCs/>
          <w:color w:val="111111"/>
          <w:kern w:val="36"/>
        </w:rPr>
        <w:t>personal and professional circumstances</w:t>
      </w:r>
      <w:r w:rsidR="005867B2">
        <w:rPr>
          <w:rFonts w:ascii="Calibri" w:hAnsi="Calibri" w:cs="Arial"/>
          <w:bCs/>
          <w:color w:val="111111"/>
          <w:kern w:val="36"/>
        </w:rPr>
        <w:t xml:space="preserve">, while being achievable </w:t>
      </w:r>
      <w:r>
        <w:rPr>
          <w:rFonts w:ascii="Calibri" w:hAnsi="Calibri" w:cs="Arial"/>
          <w:bCs/>
          <w:color w:val="111111"/>
          <w:kern w:val="36"/>
        </w:rPr>
        <w:t xml:space="preserve">with </w:t>
      </w:r>
      <w:r w:rsidR="005867B2">
        <w:rPr>
          <w:rFonts w:ascii="Calibri" w:hAnsi="Calibri" w:cs="Arial"/>
          <w:bCs/>
          <w:color w:val="111111"/>
          <w:kern w:val="36"/>
        </w:rPr>
        <w:t>some</w:t>
      </w:r>
      <w:r>
        <w:rPr>
          <w:rFonts w:ascii="Calibri" w:hAnsi="Calibri" w:cs="Arial"/>
          <w:bCs/>
          <w:color w:val="111111"/>
          <w:kern w:val="36"/>
        </w:rPr>
        <w:t xml:space="preserve"> self-discipline</w:t>
      </w:r>
      <w:r w:rsidR="005867B2">
        <w:rPr>
          <w:rFonts w:ascii="Calibri" w:hAnsi="Calibri" w:cs="Arial"/>
          <w:bCs/>
          <w:color w:val="111111"/>
          <w:kern w:val="36"/>
        </w:rPr>
        <w:t>.</w:t>
      </w:r>
    </w:p>
    <w:p w14:paraId="1622644C" w14:textId="77777777" w:rsidR="00BF0C9B" w:rsidRDefault="00BF0C9B" w:rsidP="00BF0C9B">
      <w:pPr>
        <w:shd w:val="clear" w:color="auto" w:fill="FFFFFF"/>
        <w:jc w:val="both"/>
        <w:outlineLvl w:val="0"/>
        <w:rPr>
          <w:rFonts w:ascii="Calibri" w:hAnsi="Calibri" w:cs="Arial"/>
          <w:b/>
          <w:color w:val="111111"/>
          <w:kern w:val="36"/>
        </w:rPr>
      </w:pPr>
      <w:r>
        <w:rPr>
          <w:rFonts w:ascii="Calibri" w:hAnsi="Calibri" w:cs="Arial"/>
          <w:b/>
          <w:color w:val="111111"/>
          <w:kern w:val="36"/>
        </w:rPr>
        <w:lastRenderedPageBreak/>
        <w:t>Causality</w:t>
      </w:r>
    </w:p>
    <w:p w14:paraId="406E816A" w14:textId="77777777" w:rsidR="00BF0C9B" w:rsidRDefault="00BF0C9B" w:rsidP="00BF0C9B">
      <w:pPr>
        <w:shd w:val="clear" w:color="auto" w:fill="FFFFFF"/>
        <w:spacing w:before="120" w:after="120"/>
        <w:jc w:val="both"/>
        <w:rPr>
          <w:color w:val="333333"/>
          <w:lang w:eastAsia="en-AU"/>
        </w:rPr>
      </w:pPr>
      <w:r>
        <w:rPr>
          <w:color w:val="333333"/>
          <w:lang w:eastAsia="en-AU"/>
        </w:rPr>
        <w:t>This leads to quantitative social science which carefully, perhaps cunningly, accounts for many confounding latent variables, which can be so frustrating in the scholarship of teaching. There is a sense in which it builds on the Aristotelian distinctions of cause and effect which transcend the popular caricatures. Cause and effect are often confused, even by scientists, particularly through ignorance of Aristotle’s four causes, which differ in kind as well as in effect.</w:t>
      </w:r>
    </w:p>
    <w:p w14:paraId="22F72291" w14:textId="77777777" w:rsidR="00BF0C9B" w:rsidRDefault="00BF0C9B" w:rsidP="00BF0C9B">
      <w:pPr>
        <w:jc w:val="center"/>
      </w:pPr>
      <w:r>
        <w:t>Figure 1: Types of causality</w:t>
      </w:r>
      <w:r>
        <w:rPr>
          <w:rStyle w:val="EndnoteReference"/>
        </w:rPr>
        <w:endnoteReference w:id="2"/>
      </w:r>
    </w:p>
    <w:p w14:paraId="7DF5DF73" w14:textId="77777777" w:rsidR="00BF0C9B" w:rsidRPr="00751EB4" w:rsidRDefault="00BF0C9B" w:rsidP="00BF0C9B">
      <w:pPr>
        <w:jc w:val="center"/>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108"/>
        <w:gridCol w:w="1024"/>
        <w:gridCol w:w="5179"/>
      </w:tblGrid>
      <w:tr w:rsidR="00BF0C9B" w14:paraId="61EC7D37" w14:textId="77777777" w:rsidTr="003113D9">
        <w:tc>
          <w:tcPr>
            <w:tcW w:w="1683" w:type="dxa"/>
            <w:tcBorders>
              <w:top w:val="nil"/>
              <w:left w:val="nil"/>
              <w:bottom w:val="nil"/>
              <w:right w:val="nil"/>
            </w:tcBorders>
            <w:shd w:val="clear" w:color="auto" w:fill="auto"/>
          </w:tcPr>
          <w:p w14:paraId="5C8A499E" w14:textId="77777777" w:rsidR="00BF0C9B" w:rsidRDefault="00BF0C9B" w:rsidP="003113D9"/>
        </w:tc>
        <w:tc>
          <w:tcPr>
            <w:tcW w:w="1152" w:type="dxa"/>
            <w:tcBorders>
              <w:top w:val="nil"/>
              <w:left w:val="nil"/>
            </w:tcBorders>
            <w:shd w:val="clear" w:color="auto" w:fill="auto"/>
          </w:tcPr>
          <w:p w14:paraId="40372291" w14:textId="77777777" w:rsidR="00BF0C9B" w:rsidRDefault="00BF0C9B" w:rsidP="003113D9"/>
        </w:tc>
        <w:tc>
          <w:tcPr>
            <w:tcW w:w="1056" w:type="dxa"/>
            <w:shd w:val="clear" w:color="auto" w:fill="00B0F0"/>
          </w:tcPr>
          <w:p w14:paraId="1E35EB4C" w14:textId="77777777" w:rsidR="00BF0C9B" w:rsidRDefault="00BF0C9B" w:rsidP="003113D9">
            <w:r>
              <w:t>Material</w:t>
            </w:r>
          </w:p>
        </w:tc>
        <w:tc>
          <w:tcPr>
            <w:tcW w:w="5548" w:type="dxa"/>
            <w:tcBorders>
              <w:bottom w:val="single" w:sz="4" w:space="0" w:color="auto"/>
            </w:tcBorders>
            <w:shd w:val="clear" w:color="auto" w:fill="00B0F0"/>
          </w:tcPr>
          <w:p w14:paraId="15907530" w14:textId="77777777" w:rsidR="00BF0C9B" w:rsidRDefault="00BF0C9B" w:rsidP="003113D9">
            <w:r>
              <w:t>is that from which. and in which, something acts</w:t>
            </w:r>
          </w:p>
        </w:tc>
      </w:tr>
      <w:tr w:rsidR="00BF0C9B" w14:paraId="43556E8A" w14:textId="77777777" w:rsidTr="003113D9">
        <w:tc>
          <w:tcPr>
            <w:tcW w:w="1683" w:type="dxa"/>
            <w:tcBorders>
              <w:top w:val="nil"/>
              <w:left w:val="nil"/>
              <w:bottom w:val="nil"/>
              <w:right w:val="single" w:sz="4" w:space="0" w:color="auto"/>
            </w:tcBorders>
            <w:shd w:val="clear" w:color="auto" w:fill="auto"/>
          </w:tcPr>
          <w:p w14:paraId="488C8B76" w14:textId="77777777" w:rsidR="00BF0C9B" w:rsidRDefault="00BF0C9B" w:rsidP="003113D9"/>
        </w:tc>
        <w:tc>
          <w:tcPr>
            <w:tcW w:w="1152" w:type="dxa"/>
            <w:tcBorders>
              <w:left w:val="single" w:sz="4" w:space="0" w:color="auto"/>
              <w:bottom w:val="single" w:sz="4" w:space="0" w:color="auto"/>
            </w:tcBorders>
            <w:shd w:val="clear" w:color="auto" w:fill="00B0F0"/>
          </w:tcPr>
          <w:p w14:paraId="52CEF799" w14:textId="77777777" w:rsidR="00BF0C9B" w:rsidRDefault="00BF0C9B" w:rsidP="003113D9">
            <w:r>
              <w:t>Intrinsic</w:t>
            </w:r>
          </w:p>
        </w:tc>
        <w:tc>
          <w:tcPr>
            <w:tcW w:w="1056" w:type="dxa"/>
            <w:tcBorders>
              <w:right w:val="nil"/>
            </w:tcBorders>
            <w:shd w:val="clear" w:color="auto" w:fill="auto"/>
          </w:tcPr>
          <w:p w14:paraId="68FD783B" w14:textId="77777777" w:rsidR="00BF0C9B" w:rsidRDefault="00BF0C9B" w:rsidP="003113D9"/>
        </w:tc>
        <w:tc>
          <w:tcPr>
            <w:tcW w:w="5548" w:type="dxa"/>
            <w:tcBorders>
              <w:left w:val="nil"/>
              <w:right w:val="nil"/>
            </w:tcBorders>
            <w:shd w:val="clear" w:color="auto" w:fill="auto"/>
          </w:tcPr>
          <w:p w14:paraId="5EFA4C7E" w14:textId="77777777" w:rsidR="00BF0C9B" w:rsidRDefault="00BF0C9B" w:rsidP="003113D9"/>
        </w:tc>
      </w:tr>
      <w:tr w:rsidR="00BF0C9B" w14:paraId="53AD1677" w14:textId="77777777" w:rsidTr="003113D9">
        <w:tc>
          <w:tcPr>
            <w:tcW w:w="1683" w:type="dxa"/>
            <w:tcBorders>
              <w:top w:val="nil"/>
              <w:left w:val="nil"/>
              <w:bottom w:val="nil"/>
              <w:right w:val="single" w:sz="4" w:space="0" w:color="auto"/>
            </w:tcBorders>
            <w:shd w:val="clear" w:color="auto" w:fill="auto"/>
          </w:tcPr>
          <w:p w14:paraId="3F7E8C22" w14:textId="77777777" w:rsidR="00BF0C9B" w:rsidRDefault="00BF0C9B" w:rsidP="003113D9"/>
        </w:tc>
        <w:tc>
          <w:tcPr>
            <w:tcW w:w="1152" w:type="dxa"/>
            <w:tcBorders>
              <w:left w:val="single" w:sz="4" w:space="0" w:color="auto"/>
              <w:bottom w:val="nil"/>
            </w:tcBorders>
            <w:shd w:val="clear" w:color="auto" w:fill="auto"/>
          </w:tcPr>
          <w:p w14:paraId="74D2D2AF" w14:textId="77777777" w:rsidR="00BF0C9B" w:rsidRDefault="00BF0C9B" w:rsidP="003113D9"/>
        </w:tc>
        <w:tc>
          <w:tcPr>
            <w:tcW w:w="1056" w:type="dxa"/>
            <w:tcBorders>
              <w:bottom w:val="single" w:sz="4" w:space="0" w:color="auto"/>
            </w:tcBorders>
            <w:shd w:val="clear" w:color="auto" w:fill="00B0F0"/>
          </w:tcPr>
          <w:p w14:paraId="56E977B6" w14:textId="77777777" w:rsidR="00BF0C9B" w:rsidRDefault="00BF0C9B" w:rsidP="003113D9">
            <w:r>
              <w:t xml:space="preserve">Formal </w:t>
            </w:r>
          </w:p>
        </w:tc>
        <w:tc>
          <w:tcPr>
            <w:tcW w:w="5548" w:type="dxa"/>
            <w:tcBorders>
              <w:bottom w:val="single" w:sz="4" w:space="0" w:color="auto"/>
            </w:tcBorders>
            <w:shd w:val="clear" w:color="auto" w:fill="00B0F0"/>
          </w:tcPr>
          <w:p w14:paraId="55A26FEF" w14:textId="77777777" w:rsidR="00BF0C9B" w:rsidRDefault="00BF0C9B" w:rsidP="003113D9">
            <w:r>
              <w:t>is that which determines the change</w:t>
            </w:r>
          </w:p>
        </w:tc>
      </w:tr>
      <w:tr w:rsidR="00BF0C9B" w14:paraId="0E902593" w14:textId="77777777" w:rsidTr="003113D9">
        <w:tc>
          <w:tcPr>
            <w:tcW w:w="1683" w:type="dxa"/>
            <w:tcBorders>
              <w:top w:val="nil"/>
              <w:left w:val="nil"/>
              <w:bottom w:val="single" w:sz="4" w:space="0" w:color="auto"/>
              <w:right w:val="single" w:sz="4" w:space="0" w:color="auto"/>
            </w:tcBorders>
            <w:shd w:val="clear" w:color="auto" w:fill="auto"/>
          </w:tcPr>
          <w:p w14:paraId="3243A9A0" w14:textId="77777777" w:rsidR="00BF0C9B" w:rsidRDefault="00BF0C9B" w:rsidP="003113D9"/>
        </w:tc>
        <w:tc>
          <w:tcPr>
            <w:tcW w:w="1152" w:type="dxa"/>
            <w:tcBorders>
              <w:top w:val="nil"/>
              <w:left w:val="single" w:sz="4" w:space="0" w:color="auto"/>
              <w:bottom w:val="nil"/>
              <w:right w:val="nil"/>
            </w:tcBorders>
            <w:shd w:val="clear" w:color="auto" w:fill="auto"/>
          </w:tcPr>
          <w:p w14:paraId="68CF2328" w14:textId="77777777" w:rsidR="00BF0C9B" w:rsidRDefault="00BF0C9B" w:rsidP="003113D9"/>
        </w:tc>
        <w:tc>
          <w:tcPr>
            <w:tcW w:w="1056" w:type="dxa"/>
            <w:tcBorders>
              <w:left w:val="nil"/>
              <w:bottom w:val="nil"/>
              <w:right w:val="nil"/>
            </w:tcBorders>
            <w:shd w:val="clear" w:color="auto" w:fill="auto"/>
          </w:tcPr>
          <w:p w14:paraId="6D84B309" w14:textId="77777777" w:rsidR="00BF0C9B" w:rsidRDefault="00BF0C9B" w:rsidP="003113D9"/>
        </w:tc>
        <w:tc>
          <w:tcPr>
            <w:tcW w:w="5548" w:type="dxa"/>
            <w:tcBorders>
              <w:left w:val="nil"/>
              <w:right w:val="nil"/>
            </w:tcBorders>
            <w:shd w:val="clear" w:color="auto" w:fill="auto"/>
          </w:tcPr>
          <w:p w14:paraId="16D543A1" w14:textId="77777777" w:rsidR="00BF0C9B" w:rsidRDefault="00BF0C9B" w:rsidP="003113D9"/>
        </w:tc>
      </w:tr>
      <w:tr w:rsidR="00BF0C9B" w14:paraId="46804E69" w14:textId="77777777" w:rsidTr="003113D9">
        <w:tc>
          <w:tcPr>
            <w:tcW w:w="1683" w:type="dxa"/>
            <w:tcBorders>
              <w:top w:val="single" w:sz="4" w:space="0" w:color="auto"/>
              <w:bottom w:val="single" w:sz="4" w:space="0" w:color="auto"/>
            </w:tcBorders>
            <w:shd w:val="clear" w:color="auto" w:fill="92D050"/>
          </w:tcPr>
          <w:p w14:paraId="4AFE20B7" w14:textId="77777777" w:rsidR="00BF0C9B" w:rsidRPr="00A40DBF" w:rsidRDefault="00BF0C9B" w:rsidP="003113D9">
            <w:pPr>
              <w:rPr>
                <w:b/>
                <w:bCs/>
              </w:rPr>
            </w:pPr>
            <w:r w:rsidRPr="00A40DBF">
              <w:rPr>
                <w:b/>
                <w:bCs/>
              </w:rPr>
              <w:t>CAUS</w:t>
            </w:r>
            <w:r>
              <w:rPr>
                <w:b/>
                <w:bCs/>
              </w:rPr>
              <w:t xml:space="preserve">ALITY </w:t>
            </w:r>
          </w:p>
        </w:tc>
        <w:tc>
          <w:tcPr>
            <w:tcW w:w="1152" w:type="dxa"/>
            <w:tcBorders>
              <w:top w:val="nil"/>
              <w:bottom w:val="nil"/>
              <w:right w:val="nil"/>
            </w:tcBorders>
            <w:shd w:val="clear" w:color="auto" w:fill="auto"/>
          </w:tcPr>
          <w:p w14:paraId="1239DBAF" w14:textId="77777777" w:rsidR="00BF0C9B" w:rsidRDefault="00BF0C9B" w:rsidP="003113D9"/>
        </w:tc>
        <w:tc>
          <w:tcPr>
            <w:tcW w:w="1056" w:type="dxa"/>
            <w:tcBorders>
              <w:top w:val="nil"/>
              <w:left w:val="nil"/>
            </w:tcBorders>
            <w:shd w:val="clear" w:color="auto" w:fill="auto"/>
          </w:tcPr>
          <w:p w14:paraId="50AD7BD3" w14:textId="77777777" w:rsidR="00BF0C9B" w:rsidRDefault="00BF0C9B" w:rsidP="003113D9"/>
        </w:tc>
        <w:tc>
          <w:tcPr>
            <w:tcW w:w="5548" w:type="dxa"/>
            <w:tcBorders>
              <w:bottom w:val="single" w:sz="4" w:space="0" w:color="auto"/>
            </w:tcBorders>
            <w:shd w:val="clear" w:color="auto" w:fill="FFC000"/>
          </w:tcPr>
          <w:p w14:paraId="2A7430C9" w14:textId="77777777" w:rsidR="00BF0C9B" w:rsidRDefault="00BF0C9B" w:rsidP="003113D9">
            <w:r>
              <w:t>is the Principal (agent): e.g., the student</w:t>
            </w:r>
          </w:p>
        </w:tc>
      </w:tr>
      <w:tr w:rsidR="00BF0C9B" w14:paraId="3BC73693" w14:textId="77777777" w:rsidTr="003113D9">
        <w:tc>
          <w:tcPr>
            <w:tcW w:w="1683" w:type="dxa"/>
            <w:tcBorders>
              <w:left w:val="nil"/>
              <w:bottom w:val="nil"/>
            </w:tcBorders>
            <w:shd w:val="clear" w:color="auto" w:fill="auto"/>
          </w:tcPr>
          <w:p w14:paraId="434CDF3F" w14:textId="77777777" w:rsidR="00BF0C9B" w:rsidRDefault="00BF0C9B" w:rsidP="003113D9"/>
        </w:tc>
        <w:tc>
          <w:tcPr>
            <w:tcW w:w="1152" w:type="dxa"/>
            <w:tcBorders>
              <w:top w:val="nil"/>
              <w:bottom w:val="nil"/>
            </w:tcBorders>
            <w:shd w:val="clear" w:color="auto" w:fill="auto"/>
          </w:tcPr>
          <w:p w14:paraId="771D4A33" w14:textId="77777777" w:rsidR="00BF0C9B" w:rsidRDefault="00BF0C9B" w:rsidP="003113D9"/>
        </w:tc>
        <w:tc>
          <w:tcPr>
            <w:tcW w:w="1056" w:type="dxa"/>
            <w:tcBorders>
              <w:bottom w:val="single" w:sz="4" w:space="0" w:color="auto"/>
            </w:tcBorders>
            <w:shd w:val="clear" w:color="auto" w:fill="FFC000"/>
          </w:tcPr>
          <w:p w14:paraId="39B49052" w14:textId="77777777" w:rsidR="00BF0C9B" w:rsidRDefault="00BF0C9B" w:rsidP="003113D9">
            <w:r>
              <w:t>Efficient</w:t>
            </w:r>
          </w:p>
        </w:tc>
        <w:tc>
          <w:tcPr>
            <w:tcW w:w="5548" w:type="dxa"/>
            <w:tcBorders>
              <w:bottom w:val="nil"/>
              <w:right w:val="nil"/>
            </w:tcBorders>
            <w:shd w:val="clear" w:color="auto" w:fill="auto"/>
          </w:tcPr>
          <w:p w14:paraId="5F117520" w14:textId="77777777" w:rsidR="00BF0C9B" w:rsidRDefault="00BF0C9B" w:rsidP="003113D9"/>
        </w:tc>
      </w:tr>
      <w:tr w:rsidR="00BF0C9B" w14:paraId="1EC105EE" w14:textId="77777777" w:rsidTr="003113D9">
        <w:tc>
          <w:tcPr>
            <w:tcW w:w="1683" w:type="dxa"/>
            <w:tcBorders>
              <w:top w:val="nil"/>
              <w:left w:val="nil"/>
              <w:bottom w:val="nil"/>
            </w:tcBorders>
            <w:shd w:val="clear" w:color="auto" w:fill="auto"/>
          </w:tcPr>
          <w:p w14:paraId="64857918" w14:textId="77777777" w:rsidR="00BF0C9B" w:rsidRDefault="00BF0C9B" w:rsidP="003113D9"/>
        </w:tc>
        <w:tc>
          <w:tcPr>
            <w:tcW w:w="1152" w:type="dxa"/>
            <w:tcBorders>
              <w:top w:val="nil"/>
              <w:bottom w:val="single" w:sz="4" w:space="0" w:color="auto"/>
            </w:tcBorders>
            <w:shd w:val="clear" w:color="auto" w:fill="FFFFFF"/>
          </w:tcPr>
          <w:p w14:paraId="6F8389CC" w14:textId="77777777" w:rsidR="00BF0C9B" w:rsidRDefault="00BF0C9B" w:rsidP="003113D9"/>
        </w:tc>
        <w:tc>
          <w:tcPr>
            <w:tcW w:w="1056" w:type="dxa"/>
            <w:tcBorders>
              <w:top w:val="nil"/>
              <w:bottom w:val="nil"/>
            </w:tcBorders>
            <w:shd w:val="clear" w:color="auto" w:fill="auto"/>
          </w:tcPr>
          <w:p w14:paraId="244A4F85" w14:textId="77777777" w:rsidR="00BF0C9B" w:rsidRDefault="00BF0C9B" w:rsidP="003113D9"/>
        </w:tc>
        <w:tc>
          <w:tcPr>
            <w:tcW w:w="5548" w:type="dxa"/>
            <w:tcBorders>
              <w:bottom w:val="single" w:sz="4" w:space="0" w:color="auto"/>
            </w:tcBorders>
            <w:shd w:val="clear" w:color="auto" w:fill="FFC000"/>
          </w:tcPr>
          <w:p w14:paraId="51D97742" w14:textId="77777777" w:rsidR="00BF0C9B" w:rsidRDefault="00BF0C9B" w:rsidP="003113D9">
            <w:r>
              <w:t>is the Instrumental (agent): e.g., the teacher</w:t>
            </w:r>
          </w:p>
        </w:tc>
      </w:tr>
      <w:tr w:rsidR="00BF0C9B" w14:paraId="39B1871F" w14:textId="77777777" w:rsidTr="003113D9">
        <w:tc>
          <w:tcPr>
            <w:tcW w:w="1683" w:type="dxa"/>
            <w:tcBorders>
              <w:top w:val="nil"/>
              <w:left w:val="nil"/>
              <w:bottom w:val="nil"/>
            </w:tcBorders>
            <w:shd w:val="clear" w:color="auto" w:fill="auto"/>
          </w:tcPr>
          <w:p w14:paraId="6E0D44F7" w14:textId="77777777" w:rsidR="00BF0C9B" w:rsidRDefault="00BF0C9B" w:rsidP="003113D9"/>
        </w:tc>
        <w:tc>
          <w:tcPr>
            <w:tcW w:w="1152" w:type="dxa"/>
            <w:tcBorders>
              <w:bottom w:val="single" w:sz="4" w:space="0" w:color="auto"/>
            </w:tcBorders>
            <w:shd w:val="clear" w:color="auto" w:fill="FFC000"/>
          </w:tcPr>
          <w:p w14:paraId="0E1B98D7" w14:textId="77777777" w:rsidR="00BF0C9B" w:rsidRDefault="00BF0C9B" w:rsidP="003113D9">
            <w:r>
              <w:t>Extrinsic</w:t>
            </w:r>
          </w:p>
        </w:tc>
        <w:tc>
          <w:tcPr>
            <w:tcW w:w="1056" w:type="dxa"/>
            <w:tcBorders>
              <w:top w:val="nil"/>
              <w:bottom w:val="nil"/>
              <w:right w:val="nil"/>
            </w:tcBorders>
            <w:shd w:val="clear" w:color="auto" w:fill="auto"/>
          </w:tcPr>
          <w:p w14:paraId="53C3332A" w14:textId="77777777" w:rsidR="00BF0C9B" w:rsidRDefault="00BF0C9B" w:rsidP="003113D9"/>
        </w:tc>
        <w:tc>
          <w:tcPr>
            <w:tcW w:w="5548" w:type="dxa"/>
            <w:tcBorders>
              <w:left w:val="nil"/>
              <w:bottom w:val="nil"/>
              <w:right w:val="nil"/>
            </w:tcBorders>
            <w:shd w:val="clear" w:color="auto" w:fill="FFFFFF"/>
          </w:tcPr>
          <w:p w14:paraId="028EC1E8" w14:textId="77777777" w:rsidR="00BF0C9B" w:rsidRDefault="00BF0C9B" w:rsidP="003113D9"/>
        </w:tc>
      </w:tr>
      <w:tr w:rsidR="00BF0C9B" w14:paraId="09ADC1E3" w14:textId="77777777" w:rsidTr="003113D9">
        <w:tc>
          <w:tcPr>
            <w:tcW w:w="1683" w:type="dxa"/>
            <w:tcBorders>
              <w:top w:val="nil"/>
              <w:left w:val="nil"/>
              <w:bottom w:val="nil"/>
              <w:right w:val="nil"/>
            </w:tcBorders>
            <w:shd w:val="clear" w:color="auto" w:fill="auto"/>
          </w:tcPr>
          <w:p w14:paraId="6A997FB0" w14:textId="77777777" w:rsidR="00BF0C9B" w:rsidRDefault="00BF0C9B" w:rsidP="003113D9"/>
        </w:tc>
        <w:tc>
          <w:tcPr>
            <w:tcW w:w="1152" w:type="dxa"/>
            <w:tcBorders>
              <w:left w:val="nil"/>
              <w:bottom w:val="nil"/>
            </w:tcBorders>
            <w:shd w:val="clear" w:color="auto" w:fill="auto"/>
          </w:tcPr>
          <w:p w14:paraId="1DC46219" w14:textId="77777777" w:rsidR="00BF0C9B" w:rsidRDefault="00BF0C9B" w:rsidP="003113D9"/>
        </w:tc>
        <w:tc>
          <w:tcPr>
            <w:tcW w:w="1056" w:type="dxa"/>
            <w:tcBorders>
              <w:top w:val="nil"/>
              <w:right w:val="nil"/>
            </w:tcBorders>
            <w:shd w:val="clear" w:color="auto" w:fill="auto"/>
          </w:tcPr>
          <w:p w14:paraId="11F426C9" w14:textId="77777777" w:rsidR="00BF0C9B" w:rsidRDefault="00BF0C9B" w:rsidP="003113D9"/>
        </w:tc>
        <w:tc>
          <w:tcPr>
            <w:tcW w:w="5548" w:type="dxa"/>
            <w:tcBorders>
              <w:top w:val="nil"/>
              <w:left w:val="nil"/>
              <w:right w:val="nil"/>
            </w:tcBorders>
            <w:shd w:val="clear" w:color="auto" w:fill="auto"/>
          </w:tcPr>
          <w:p w14:paraId="5E80AE5B" w14:textId="77777777" w:rsidR="00BF0C9B" w:rsidRDefault="00BF0C9B" w:rsidP="003113D9"/>
        </w:tc>
      </w:tr>
      <w:tr w:rsidR="00BF0C9B" w14:paraId="70C3C138" w14:textId="77777777" w:rsidTr="003113D9">
        <w:tc>
          <w:tcPr>
            <w:tcW w:w="1683" w:type="dxa"/>
            <w:tcBorders>
              <w:top w:val="nil"/>
              <w:left w:val="nil"/>
              <w:bottom w:val="nil"/>
              <w:right w:val="nil"/>
            </w:tcBorders>
            <w:shd w:val="clear" w:color="auto" w:fill="auto"/>
          </w:tcPr>
          <w:p w14:paraId="69F3D95C" w14:textId="77777777" w:rsidR="00BF0C9B" w:rsidRDefault="00BF0C9B" w:rsidP="003113D9"/>
        </w:tc>
        <w:tc>
          <w:tcPr>
            <w:tcW w:w="1152" w:type="dxa"/>
            <w:tcBorders>
              <w:top w:val="nil"/>
              <w:left w:val="nil"/>
              <w:bottom w:val="nil"/>
            </w:tcBorders>
            <w:shd w:val="clear" w:color="auto" w:fill="auto"/>
          </w:tcPr>
          <w:p w14:paraId="4AE68B98" w14:textId="77777777" w:rsidR="00BF0C9B" w:rsidRDefault="00BF0C9B" w:rsidP="003113D9"/>
        </w:tc>
        <w:tc>
          <w:tcPr>
            <w:tcW w:w="1056" w:type="dxa"/>
            <w:shd w:val="clear" w:color="auto" w:fill="FFC000"/>
          </w:tcPr>
          <w:p w14:paraId="098612A6" w14:textId="77777777" w:rsidR="00BF0C9B" w:rsidRDefault="00BF0C9B" w:rsidP="003113D9">
            <w:r>
              <w:t>Final</w:t>
            </w:r>
          </w:p>
        </w:tc>
        <w:tc>
          <w:tcPr>
            <w:tcW w:w="5548" w:type="dxa"/>
            <w:shd w:val="clear" w:color="auto" w:fill="FFC000"/>
          </w:tcPr>
          <w:p w14:paraId="77862844" w14:textId="77777777" w:rsidR="00BF0C9B" w:rsidRDefault="00BF0C9B" w:rsidP="003113D9">
            <w:r>
              <w:t>is that which motivates or sets a goal for the agent(s)</w:t>
            </w:r>
          </w:p>
        </w:tc>
      </w:tr>
    </w:tbl>
    <w:p w14:paraId="20D87FC0" w14:textId="77777777" w:rsidR="00BF0C9B" w:rsidRDefault="00BF0C9B" w:rsidP="00BF0C9B">
      <w:pPr>
        <w:shd w:val="clear" w:color="auto" w:fill="FFFFFF"/>
        <w:spacing w:before="120" w:after="120"/>
        <w:jc w:val="both"/>
        <w:rPr>
          <w:color w:val="333333"/>
          <w:lang w:eastAsia="en-AU"/>
        </w:rPr>
      </w:pPr>
    </w:p>
    <w:p w14:paraId="0453924B" w14:textId="440705BB" w:rsidR="00BF0C9B" w:rsidRDefault="00BF0C9B" w:rsidP="00BF0C9B">
      <w:pPr>
        <w:shd w:val="clear" w:color="auto" w:fill="FFFFFF"/>
        <w:spacing w:before="120" w:after="120"/>
        <w:jc w:val="both"/>
        <w:rPr>
          <w:color w:val="333333"/>
          <w:lang w:eastAsia="en-AU"/>
        </w:rPr>
      </w:pPr>
      <w:r>
        <w:rPr>
          <w:color w:val="333333"/>
          <w:lang w:eastAsia="en-AU"/>
        </w:rPr>
        <w:t xml:space="preserve">This </w:t>
      </w:r>
      <w:r w:rsidR="00D147AF">
        <w:rPr>
          <w:color w:val="333333"/>
          <w:lang w:eastAsia="en-AU"/>
        </w:rPr>
        <w:t xml:space="preserve">quick summary </w:t>
      </w:r>
      <w:r>
        <w:rPr>
          <w:color w:val="333333"/>
          <w:lang w:eastAsia="en-AU"/>
        </w:rPr>
        <w:t xml:space="preserve">is included to alert the reader </w:t>
      </w:r>
      <w:r w:rsidR="00D147AF">
        <w:rPr>
          <w:color w:val="333333"/>
          <w:lang w:eastAsia="en-AU"/>
        </w:rPr>
        <w:t xml:space="preserve">to the </w:t>
      </w:r>
      <w:r>
        <w:rPr>
          <w:color w:val="333333"/>
          <w:lang w:eastAsia="en-AU"/>
        </w:rPr>
        <w:t xml:space="preserve">finer distinctions, which are particularly important when trying to </w:t>
      </w:r>
      <w:r w:rsidR="00D147AF">
        <w:rPr>
          <w:color w:val="333333"/>
          <w:lang w:eastAsia="en-AU"/>
        </w:rPr>
        <w:t>examine</w:t>
      </w:r>
      <w:r>
        <w:rPr>
          <w:color w:val="333333"/>
          <w:lang w:eastAsia="en-AU"/>
        </w:rPr>
        <w:t xml:space="preserve"> the models of Tyler Vander Weele and the distinctions of Ernest Boyer. They </w:t>
      </w:r>
      <w:r w:rsidR="00D147AF">
        <w:rPr>
          <w:color w:val="333333"/>
          <w:lang w:eastAsia="en-AU"/>
        </w:rPr>
        <w:t xml:space="preserve">do also </w:t>
      </w:r>
      <w:r>
        <w:rPr>
          <w:color w:val="333333"/>
          <w:lang w:eastAsia="en-AU"/>
        </w:rPr>
        <w:t>have wider importance</w:t>
      </w:r>
      <w:r w:rsidR="00D147AF">
        <w:rPr>
          <w:color w:val="333333"/>
          <w:lang w:eastAsia="en-AU"/>
        </w:rPr>
        <w:t>,</w:t>
      </w:r>
      <w:r>
        <w:rPr>
          <w:color w:val="333333"/>
          <w:lang w:eastAsia="en-AU"/>
        </w:rPr>
        <w:t xml:space="preserve"> such as in making distinctions in mathematics (formal causality) and physics (efficient causality).</w:t>
      </w:r>
    </w:p>
    <w:p w14:paraId="08ED8558" w14:textId="77777777" w:rsidR="00BF0C9B" w:rsidRPr="00BF0C9B" w:rsidRDefault="00BF0C9B" w:rsidP="00BF0C9B">
      <w:pPr>
        <w:shd w:val="clear" w:color="auto" w:fill="FFFFFF"/>
        <w:spacing w:before="120" w:after="120"/>
        <w:jc w:val="both"/>
        <w:rPr>
          <w:color w:val="333333"/>
          <w:sz w:val="4"/>
          <w:szCs w:val="4"/>
          <w:lang w:eastAsia="en-AU"/>
        </w:rPr>
      </w:pPr>
    </w:p>
    <w:p w14:paraId="1B21453B" w14:textId="77777777" w:rsidR="00BF0C9B" w:rsidRPr="00BF793C" w:rsidRDefault="00BF0C9B" w:rsidP="00BF0C9B">
      <w:pPr>
        <w:shd w:val="clear" w:color="auto" w:fill="FFFFFF"/>
        <w:spacing w:before="120" w:after="120"/>
        <w:jc w:val="both"/>
        <w:rPr>
          <w:b/>
          <w:bCs/>
          <w:color w:val="333333"/>
          <w:lang w:eastAsia="en-AU"/>
        </w:rPr>
      </w:pPr>
      <w:r>
        <w:rPr>
          <w:b/>
          <w:bCs/>
          <w:color w:val="333333"/>
          <w:lang w:eastAsia="en-AU"/>
        </w:rPr>
        <w:t>The Boyer Model of Scholarship</w:t>
      </w:r>
    </w:p>
    <w:p w14:paraId="6669AE1D" w14:textId="040C117F" w:rsidR="00BF0C9B" w:rsidRPr="00135D92" w:rsidRDefault="00BF0C9B" w:rsidP="00BF0C9B">
      <w:pPr>
        <w:shd w:val="clear" w:color="auto" w:fill="FFFFFF"/>
        <w:jc w:val="both"/>
        <w:outlineLvl w:val="0"/>
        <w:rPr>
          <w:rFonts w:ascii="Calibri" w:hAnsi="Calibri" w:cs="Arial"/>
        </w:rPr>
      </w:pPr>
      <w:r w:rsidRPr="00135D92">
        <w:rPr>
          <w:rFonts w:ascii="Calibri" w:hAnsi="Calibri" w:cs="Arial"/>
          <w:kern w:val="36"/>
        </w:rPr>
        <w:t xml:space="preserve">Scholarship Reconsidered: Priorities of the Professoriate </w:t>
      </w:r>
      <w:r w:rsidRPr="00135D92">
        <w:rPr>
          <w:rFonts w:ascii="Calibri" w:hAnsi="Calibri" w:cs="Arial"/>
        </w:rPr>
        <w:t>by </w:t>
      </w:r>
      <w:hyperlink r:id="rId9" w:history="1">
        <w:r w:rsidRPr="00135D92">
          <w:rPr>
            <w:rFonts w:ascii="Calibri" w:hAnsi="Calibri" w:cs="Arial"/>
          </w:rPr>
          <w:t>Ernest L. Boyer</w:t>
        </w:r>
      </w:hyperlink>
      <w:r w:rsidR="004F52C2">
        <w:rPr>
          <w:rStyle w:val="EndnoteReference"/>
          <w:rFonts w:ascii="Calibri" w:hAnsi="Calibri" w:cs="Arial"/>
        </w:rPr>
        <w:endnoteReference w:id="3"/>
      </w:r>
      <w:r w:rsidRPr="00135D92">
        <w:rPr>
          <w:rFonts w:ascii="Calibri" w:hAnsi="Calibri" w:cs="Arial"/>
        </w:rPr>
        <w:t> was updated and expanded in 2016</w:t>
      </w:r>
      <w:r w:rsidR="00A62C26">
        <w:rPr>
          <w:rStyle w:val="EndnoteReference"/>
          <w:rFonts w:ascii="Calibri" w:hAnsi="Calibri" w:cs="Arial"/>
        </w:rPr>
        <w:endnoteReference w:id="4"/>
      </w:r>
      <w:r w:rsidRPr="00135D92">
        <w:rPr>
          <w:rFonts w:ascii="Calibri" w:hAnsi="Calibri" w:cs="Arial"/>
        </w:rPr>
        <w:t xml:space="preserve">. The purpose of this review is to outline how the Boyer model of scholarship can permeate an academy with a focus on the quality of learning (Table 1). </w:t>
      </w:r>
    </w:p>
    <w:p w14:paraId="0A078293" w14:textId="4AF4A98F" w:rsidR="00BF0C9B" w:rsidRPr="00135D92" w:rsidRDefault="00BF0C9B" w:rsidP="00BF0C9B">
      <w:pPr>
        <w:shd w:val="clear" w:color="auto" w:fill="FFFFFF"/>
        <w:jc w:val="center"/>
        <w:outlineLvl w:val="0"/>
        <w:rPr>
          <w:rFonts w:ascii="Calibri" w:hAnsi="Calibri" w:cs="Arial"/>
          <w:color w:val="111111"/>
          <w:kern w:val="36"/>
        </w:rPr>
      </w:pPr>
      <w:r w:rsidRPr="00135D92">
        <w:rPr>
          <w:rFonts w:ascii="Calibri" w:hAnsi="Calibri" w:cs="Arial"/>
          <w:color w:val="111111"/>
          <w:kern w:val="36"/>
        </w:rPr>
        <w:t>Table 1: Outline of Boyer</w:t>
      </w:r>
      <w:r w:rsidR="00A62C26">
        <w:rPr>
          <w:rStyle w:val="EndnoteReference"/>
          <w:rFonts w:ascii="Calibri" w:hAnsi="Calibri" w:cs="Arial"/>
        </w:rPr>
        <w:endnoteReference w:id="5"/>
      </w:r>
    </w:p>
    <w:tbl>
      <w:tblPr>
        <w:tblW w:w="9498"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498"/>
      </w:tblGrid>
      <w:tr w:rsidR="00BF0C9B" w:rsidRPr="00135D92" w14:paraId="4E93C596" w14:textId="77777777" w:rsidTr="003113D9">
        <w:tc>
          <w:tcPr>
            <w:tcW w:w="9498" w:type="dxa"/>
            <w:shd w:val="clear" w:color="auto" w:fill="BFBFBF"/>
          </w:tcPr>
          <w:p w14:paraId="43887F3F" w14:textId="77777777" w:rsidR="00BF0C9B" w:rsidRPr="00135D92" w:rsidRDefault="00BF0C9B" w:rsidP="003113D9">
            <w:pPr>
              <w:outlineLvl w:val="0"/>
              <w:rPr>
                <w:rFonts w:ascii="Calibri" w:hAnsi="Calibri" w:cs="Arial"/>
                <w:color w:val="111111"/>
                <w:kern w:val="36"/>
              </w:rPr>
            </w:pPr>
            <w:r w:rsidRPr="00135D92">
              <w:rPr>
                <w:rFonts w:ascii="Calibri" w:hAnsi="Calibri" w:cs="Arial"/>
                <w:b/>
                <w:color w:val="111111"/>
                <w:kern w:val="36"/>
              </w:rPr>
              <w:t>Chapter 1</w:t>
            </w:r>
            <w:r w:rsidRPr="00135D92">
              <w:rPr>
                <w:rFonts w:ascii="Calibri" w:hAnsi="Calibri" w:cs="Arial"/>
                <w:color w:val="111111"/>
                <w:kern w:val="36"/>
              </w:rPr>
              <w:t xml:space="preserve">: “The Origins of </w:t>
            </w:r>
            <w:r w:rsidRPr="00135D92">
              <w:rPr>
                <w:rFonts w:ascii="Calibri" w:hAnsi="Calibri" w:cs="Arial"/>
                <w:i/>
                <w:color w:val="111111"/>
                <w:kern w:val="36"/>
              </w:rPr>
              <w:t>Scholarship Reconsidered</w:t>
            </w:r>
            <w:r w:rsidRPr="00135D92">
              <w:rPr>
                <w:rFonts w:ascii="Calibri" w:hAnsi="Calibri" w:cs="Arial"/>
                <w:color w:val="111111"/>
                <w:kern w:val="36"/>
              </w:rPr>
              <w:t>” by Drew Moser and Todd C Ream:</w:t>
            </w:r>
          </w:p>
          <w:p w14:paraId="6686706C" w14:textId="77777777" w:rsidR="00BF0C9B" w:rsidRPr="00135D92" w:rsidRDefault="00BF0C9B" w:rsidP="00F5671F">
            <w:pPr>
              <w:pStyle w:val="ListParagraph"/>
              <w:numPr>
                <w:ilvl w:val="0"/>
                <w:numId w:val="13"/>
              </w:numPr>
              <w:spacing w:after="0" w:line="240" w:lineRule="auto"/>
              <w:ind w:left="322" w:hanging="283"/>
              <w:outlineLvl w:val="0"/>
              <w:rPr>
                <w:rFonts w:eastAsia="Times New Roman" w:cs="Arial"/>
                <w:b/>
                <w:color w:val="111111"/>
                <w:kern w:val="36"/>
                <w:sz w:val="24"/>
                <w:szCs w:val="24"/>
              </w:rPr>
            </w:pPr>
            <w:r w:rsidRPr="00135D92">
              <w:rPr>
                <w:rFonts w:eastAsia="Times New Roman" w:cs="Arial"/>
                <w:color w:val="111111"/>
                <w:kern w:val="36"/>
                <w:sz w:val="24"/>
                <w:szCs w:val="24"/>
              </w:rPr>
              <w:t>Context, image, development and key individuals</w:t>
            </w:r>
          </w:p>
        </w:tc>
      </w:tr>
      <w:tr w:rsidR="00BF0C9B" w:rsidRPr="00135D92" w14:paraId="5D1802D5" w14:textId="77777777" w:rsidTr="003113D9">
        <w:trPr>
          <w:trHeight w:val="150"/>
        </w:trPr>
        <w:tc>
          <w:tcPr>
            <w:tcW w:w="9498" w:type="dxa"/>
            <w:shd w:val="clear" w:color="auto" w:fill="D9D9D9"/>
          </w:tcPr>
          <w:p w14:paraId="160FE9FB" w14:textId="77777777" w:rsidR="00BF0C9B" w:rsidRPr="00135D92" w:rsidRDefault="00BF0C9B" w:rsidP="003113D9">
            <w:pPr>
              <w:outlineLvl w:val="0"/>
              <w:rPr>
                <w:rFonts w:ascii="Calibri" w:hAnsi="Calibri" w:cs="Arial"/>
                <w:color w:val="111111"/>
                <w:kern w:val="36"/>
              </w:rPr>
            </w:pPr>
            <w:r w:rsidRPr="00135D92">
              <w:rPr>
                <w:rFonts w:ascii="Calibri" w:hAnsi="Calibri" w:cs="Arial"/>
                <w:b/>
                <w:color w:val="111111"/>
                <w:kern w:val="36"/>
              </w:rPr>
              <w:t xml:space="preserve">Chapter 2: </w:t>
            </w:r>
            <w:r w:rsidRPr="00135D92">
              <w:rPr>
                <w:rFonts w:ascii="Calibri" w:hAnsi="Calibri" w:cs="Arial"/>
                <w:color w:val="111111"/>
                <w:kern w:val="36"/>
              </w:rPr>
              <w:t>“Boyer’s Impact on Faculty Development” by Andrea L Beach:</w:t>
            </w:r>
          </w:p>
          <w:p w14:paraId="7B8FF787" w14:textId="77777777" w:rsidR="00BF0C9B" w:rsidRPr="00135D92" w:rsidRDefault="00BF0C9B" w:rsidP="00F5671F">
            <w:pPr>
              <w:pStyle w:val="ListParagraph"/>
              <w:numPr>
                <w:ilvl w:val="0"/>
                <w:numId w:val="12"/>
              </w:numPr>
              <w:spacing w:after="0" w:line="240" w:lineRule="auto"/>
              <w:ind w:left="322" w:hanging="283"/>
              <w:outlineLvl w:val="0"/>
              <w:rPr>
                <w:rFonts w:eastAsia="Times New Roman" w:cs="Arial"/>
                <w:color w:val="111111"/>
                <w:kern w:val="36"/>
                <w:sz w:val="24"/>
                <w:szCs w:val="24"/>
              </w:rPr>
            </w:pPr>
            <w:r w:rsidRPr="00135D92">
              <w:rPr>
                <w:rFonts w:eastAsia="Times New Roman" w:cs="Arial"/>
                <w:color w:val="111111"/>
                <w:kern w:val="36"/>
                <w:sz w:val="24"/>
                <w:szCs w:val="24"/>
              </w:rPr>
              <w:t>Emergence of scholarship of teaching and learning</w:t>
            </w:r>
          </w:p>
        </w:tc>
      </w:tr>
      <w:tr w:rsidR="00BF0C9B" w:rsidRPr="00135D92" w14:paraId="624E4EEF" w14:textId="77777777" w:rsidTr="003113D9">
        <w:trPr>
          <w:trHeight w:val="150"/>
        </w:trPr>
        <w:tc>
          <w:tcPr>
            <w:tcW w:w="9498" w:type="dxa"/>
            <w:shd w:val="clear" w:color="auto" w:fill="BFBFBF"/>
          </w:tcPr>
          <w:p w14:paraId="7D318AE7" w14:textId="77777777" w:rsidR="00BF0C9B" w:rsidRPr="00135D92" w:rsidRDefault="00BF0C9B" w:rsidP="003113D9">
            <w:pPr>
              <w:outlineLvl w:val="0"/>
              <w:rPr>
                <w:rFonts w:ascii="Calibri" w:hAnsi="Calibri" w:cs="Arial"/>
                <w:color w:val="111111"/>
                <w:kern w:val="36"/>
              </w:rPr>
            </w:pPr>
            <w:r w:rsidRPr="00135D92">
              <w:rPr>
                <w:rFonts w:ascii="Calibri" w:hAnsi="Calibri" w:cs="Arial"/>
                <w:b/>
                <w:color w:val="111111"/>
                <w:kern w:val="36"/>
              </w:rPr>
              <w:t>Chapter 3</w:t>
            </w:r>
            <w:r w:rsidRPr="00135D92">
              <w:rPr>
                <w:rFonts w:ascii="Calibri" w:hAnsi="Calibri" w:cs="Arial"/>
                <w:color w:val="111111"/>
                <w:kern w:val="36"/>
              </w:rPr>
              <w:t xml:space="preserve">: “The Influence of </w:t>
            </w:r>
            <w:r w:rsidRPr="00135D92">
              <w:rPr>
                <w:rFonts w:ascii="Calibri" w:hAnsi="Calibri" w:cs="Arial"/>
                <w:i/>
                <w:color w:val="111111"/>
                <w:kern w:val="36"/>
              </w:rPr>
              <w:t>Scholarship Reconsidered</w:t>
            </w:r>
            <w:r w:rsidRPr="00135D92">
              <w:rPr>
                <w:rFonts w:ascii="Calibri" w:hAnsi="Calibri" w:cs="Arial"/>
                <w:color w:val="111111"/>
                <w:kern w:val="36"/>
              </w:rPr>
              <w:t xml:space="preserve"> on Institutional Types and Academic Disciplines by John M Braxton:</w:t>
            </w:r>
          </w:p>
          <w:p w14:paraId="70AAC4D7" w14:textId="77777777" w:rsidR="00BF0C9B" w:rsidRPr="00135D92" w:rsidRDefault="00BF0C9B" w:rsidP="00F5671F">
            <w:pPr>
              <w:pStyle w:val="ListParagraph"/>
              <w:numPr>
                <w:ilvl w:val="0"/>
                <w:numId w:val="12"/>
              </w:numPr>
              <w:spacing w:after="0" w:line="240" w:lineRule="auto"/>
              <w:ind w:left="322" w:hanging="283"/>
              <w:outlineLvl w:val="0"/>
              <w:rPr>
                <w:rFonts w:eastAsia="Times New Roman" w:cs="Arial"/>
                <w:b/>
                <w:color w:val="111111"/>
                <w:kern w:val="36"/>
                <w:sz w:val="24"/>
                <w:szCs w:val="24"/>
              </w:rPr>
            </w:pPr>
            <w:r w:rsidRPr="00135D92">
              <w:rPr>
                <w:rFonts w:eastAsia="Times New Roman" w:cs="Arial"/>
                <w:color w:val="111111"/>
                <w:kern w:val="36"/>
                <w:sz w:val="24"/>
                <w:szCs w:val="24"/>
              </w:rPr>
              <w:t>How institutions have embraced the four domains</w:t>
            </w:r>
          </w:p>
        </w:tc>
      </w:tr>
      <w:tr w:rsidR="00BF0C9B" w:rsidRPr="00135D92" w14:paraId="60DBABB3" w14:textId="77777777" w:rsidTr="003113D9">
        <w:trPr>
          <w:trHeight w:val="150"/>
        </w:trPr>
        <w:tc>
          <w:tcPr>
            <w:tcW w:w="9498" w:type="dxa"/>
            <w:shd w:val="clear" w:color="auto" w:fill="D9D9D9"/>
          </w:tcPr>
          <w:p w14:paraId="71371724" w14:textId="77777777" w:rsidR="00BF0C9B" w:rsidRPr="00135D92" w:rsidRDefault="00BF0C9B" w:rsidP="003113D9">
            <w:pPr>
              <w:outlineLvl w:val="0"/>
              <w:rPr>
                <w:rFonts w:ascii="Calibri" w:hAnsi="Calibri" w:cs="Arial"/>
                <w:color w:val="111111"/>
                <w:kern w:val="36"/>
              </w:rPr>
            </w:pPr>
            <w:r w:rsidRPr="00135D92">
              <w:rPr>
                <w:rFonts w:ascii="Calibri" w:hAnsi="Calibri" w:cs="Arial"/>
                <w:b/>
                <w:color w:val="111111"/>
                <w:kern w:val="36"/>
              </w:rPr>
              <w:lastRenderedPageBreak/>
              <w:t>Chapter 4</w:t>
            </w:r>
            <w:r w:rsidRPr="00135D92">
              <w:rPr>
                <w:rFonts w:ascii="Calibri" w:hAnsi="Calibri" w:cs="Arial"/>
                <w:color w:val="111111"/>
                <w:kern w:val="36"/>
              </w:rPr>
              <w:t>: “</w:t>
            </w:r>
            <w:r w:rsidRPr="00135D92">
              <w:rPr>
                <w:rFonts w:ascii="Calibri" w:hAnsi="Calibri" w:cs="Arial"/>
                <w:i/>
                <w:color w:val="111111"/>
                <w:kern w:val="36"/>
              </w:rPr>
              <w:t xml:space="preserve">Scholarship </w:t>
            </w:r>
            <w:proofErr w:type="spellStart"/>
            <w:r w:rsidRPr="00135D92">
              <w:rPr>
                <w:rFonts w:ascii="Calibri" w:hAnsi="Calibri" w:cs="Arial"/>
                <w:i/>
                <w:color w:val="111111"/>
                <w:kern w:val="36"/>
              </w:rPr>
              <w:t>Reconsidered</w:t>
            </w:r>
            <w:r w:rsidRPr="00135D92">
              <w:rPr>
                <w:rFonts w:ascii="Calibri" w:hAnsi="Calibri" w:cs="Arial"/>
                <w:color w:val="111111"/>
                <w:kern w:val="36"/>
              </w:rPr>
              <w:t>’s</w:t>
            </w:r>
            <w:proofErr w:type="spellEnd"/>
            <w:r w:rsidRPr="00135D92">
              <w:rPr>
                <w:rFonts w:ascii="Calibri" w:hAnsi="Calibri" w:cs="Arial"/>
                <w:color w:val="111111"/>
                <w:kern w:val="36"/>
              </w:rPr>
              <w:t xml:space="preserve"> Impact on Doctoral and Professional Education” by Anne E Austin and Melissa McDaniels</w:t>
            </w:r>
          </w:p>
          <w:p w14:paraId="697FA4A1" w14:textId="77777777" w:rsidR="00BF0C9B" w:rsidRPr="00135D92" w:rsidRDefault="00BF0C9B" w:rsidP="00F5671F">
            <w:pPr>
              <w:pStyle w:val="ListParagraph"/>
              <w:numPr>
                <w:ilvl w:val="0"/>
                <w:numId w:val="12"/>
              </w:numPr>
              <w:spacing w:after="0" w:line="240" w:lineRule="auto"/>
              <w:ind w:left="322" w:hanging="283"/>
              <w:outlineLvl w:val="0"/>
              <w:rPr>
                <w:rFonts w:eastAsia="Times New Roman" w:cs="Arial"/>
                <w:color w:val="111111"/>
                <w:kern w:val="36"/>
                <w:sz w:val="24"/>
                <w:szCs w:val="24"/>
              </w:rPr>
            </w:pPr>
            <w:r w:rsidRPr="00135D92">
              <w:rPr>
                <w:rFonts w:eastAsia="Times New Roman" w:cs="Arial"/>
                <w:color w:val="111111"/>
                <w:kern w:val="36"/>
                <w:sz w:val="24"/>
                <w:szCs w:val="24"/>
              </w:rPr>
              <w:t>Relevance to doctoral education &amp; modes of learning</w:t>
            </w:r>
          </w:p>
        </w:tc>
      </w:tr>
      <w:tr w:rsidR="00BF0C9B" w:rsidRPr="00135D92" w14:paraId="0DBF72BB" w14:textId="77777777" w:rsidTr="003113D9">
        <w:trPr>
          <w:trHeight w:val="274"/>
        </w:trPr>
        <w:tc>
          <w:tcPr>
            <w:tcW w:w="9498" w:type="dxa"/>
            <w:shd w:val="clear" w:color="auto" w:fill="BFBFBF"/>
          </w:tcPr>
          <w:p w14:paraId="6656CB7D" w14:textId="77777777" w:rsidR="00BF0C9B" w:rsidRPr="00135D92" w:rsidRDefault="00BF0C9B" w:rsidP="003113D9">
            <w:pPr>
              <w:outlineLvl w:val="0"/>
              <w:rPr>
                <w:rFonts w:ascii="Calibri" w:hAnsi="Calibri" w:cs="Arial"/>
                <w:color w:val="111111"/>
                <w:kern w:val="36"/>
              </w:rPr>
            </w:pPr>
            <w:r w:rsidRPr="00135D92">
              <w:rPr>
                <w:rFonts w:ascii="Calibri" w:hAnsi="Calibri" w:cs="Arial"/>
                <w:b/>
                <w:color w:val="111111"/>
                <w:kern w:val="36"/>
              </w:rPr>
              <w:t>Chapter 5</w:t>
            </w:r>
            <w:r w:rsidRPr="00135D92">
              <w:rPr>
                <w:rFonts w:ascii="Calibri" w:hAnsi="Calibri" w:cs="Arial"/>
                <w:color w:val="111111"/>
                <w:kern w:val="36"/>
              </w:rPr>
              <w:t xml:space="preserve">: “How </w:t>
            </w:r>
            <w:r w:rsidRPr="00135D92">
              <w:rPr>
                <w:rFonts w:ascii="Calibri" w:hAnsi="Calibri" w:cs="Arial"/>
                <w:i/>
                <w:color w:val="111111"/>
                <w:kern w:val="36"/>
              </w:rPr>
              <w:t>Scholarship Reconsidered</w:t>
            </w:r>
            <w:r w:rsidRPr="00135D92">
              <w:rPr>
                <w:rFonts w:ascii="Calibri" w:hAnsi="Calibri" w:cs="Arial"/>
                <w:color w:val="111111"/>
                <w:kern w:val="36"/>
              </w:rPr>
              <w:t xml:space="preserve"> </w:t>
            </w:r>
            <w:proofErr w:type="spellStart"/>
            <w:r w:rsidRPr="00135D92">
              <w:rPr>
                <w:rFonts w:ascii="Calibri" w:hAnsi="Calibri" w:cs="Arial"/>
                <w:color w:val="111111"/>
                <w:kern w:val="36"/>
              </w:rPr>
              <w:t>disruptured</w:t>
            </w:r>
            <w:proofErr w:type="spellEnd"/>
            <w:r w:rsidRPr="00135D92">
              <w:rPr>
                <w:rFonts w:ascii="Calibri" w:hAnsi="Calibri" w:cs="Arial"/>
                <w:color w:val="111111"/>
                <w:kern w:val="36"/>
              </w:rPr>
              <w:t xml:space="preserve"> the promotion and tenure system” by KerryAnn O’Meara</w:t>
            </w:r>
          </w:p>
          <w:p w14:paraId="2AC975F8" w14:textId="77777777" w:rsidR="00BF0C9B" w:rsidRPr="00135D92" w:rsidRDefault="00BF0C9B" w:rsidP="00F5671F">
            <w:pPr>
              <w:pStyle w:val="ListParagraph"/>
              <w:numPr>
                <w:ilvl w:val="0"/>
                <w:numId w:val="12"/>
              </w:numPr>
              <w:spacing w:after="0" w:line="240" w:lineRule="auto"/>
              <w:ind w:left="322" w:hanging="283"/>
              <w:outlineLvl w:val="0"/>
              <w:rPr>
                <w:rFonts w:eastAsia="Times New Roman" w:cs="Arial"/>
                <w:color w:val="111111"/>
                <w:kern w:val="36"/>
                <w:sz w:val="24"/>
                <w:szCs w:val="24"/>
              </w:rPr>
            </w:pPr>
            <w:r w:rsidRPr="00135D92">
              <w:rPr>
                <w:rFonts w:eastAsia="Times New Roman" w:cs="Arial"/>
                <w:color w:val="111111"/>
                <w:kern w:val="36"/>
                <w:sz w:val="24"/>
                <w:szCs w:val="24"/>
              </w:rPr>
              <w:t>New language for promotion and tenure</w:t>
            </w:r>
          </w:p>
        </w:tc>
      </w:tr>
    </w:tbl>
    <w:p w14:paraId="32D2DC19" w14:textId="77777777" w:rsidR="00BF0C9B" w:rsidRPr="00135D92" w:rsidRDefault="00BF0C9B" w:rsidP="00BF0C9B">
      <w:pPr>
        <w:pStyle w:val="NoSpacing"/>
        <w:jc w:val="both"/>
        <w:rPr>
          <w:rFonts w:eastAsia="Times New Roman" w:cs="Arial"/>
          <w:b/>
          <w:color w:val="000000"/>
          <w:sz w:val="24"/>
          <w:szCs w:val="24"/>
        </w:rPr>
      </w:pPr>
    </w:p>
    <w:p w14:paraId="5E526AFF" w14:textId="0E293229" w:rsidR="00BF0C9B" w:rsidRDefault="00BF0C9B" w:rsidP="00BF0C9B">
      <w:pPr>
        <w:jc w:val="both"/>
        <w:rPr>
          <w:rFonts w:ascii="Calibri" w:hAnsi="Calibri"/>
        </w:rPr>
      </w:pPr>
      <w:r w:rsidRPr="00135D92">
        <w:rPr>
          <w:rFonts w:ascii="Calibri" w:hAnsi="Calibri" w:cs="Arial"/>
        </w:rPr>
        <w:t>It is, in a very real sense, a twenty first century application of Newman’s nineteenth century idea of a university</w:t>
      </w:r>
      <w:r w:rsidR="00A62C26">
        <w:rPr>
          <w:rStyle w:val="EndnoteReference"/>
          <w:rFonts w:ascii="Calibri" w:hAnsi="Calibri" w:cs="Arial"/>
        </w:rPr>
        <w:endnoteReference w:id="6"/>
      </w:r>
      <w:r w:rsidRPr="00135D92">
        <w:rPr>
          <w:rFonts w:ascii="Calibri" w:hAnsi="Calibri" w:cs="Arial"/>
        </w:rPr>
        <w:t xml:space="preserve"> in that both consider the nexus between scholarship and teaching, although Boyer also elaborated on the links between scholarship and research: which is the </w:t>
      </w:r>
      <w:r w:rsidR="00A62C26" w:rsidRPr="00135D92">
        <w:rPr>
          <w:rFonts w:ascii="Calibri" w:hAnsi="Calibri" w:cs="Arial"/>
        </w:rPr>
        <w:t>chicken,</w:t>
      </w:r>
      <w:r w:rsidRPr="00135D92">
        <w:rPr>
          <w:rFonts w:ascii="Calibri" w:hAnsi="Calibri" w:cs="Arial"/>
        </w:rPr>
        <w:t xml:space="preserve"> and which is the egg? </w:t>
      </w:r>
      <w:r w:rsidRPr="00135D92">
        <w:rPr>
          <w:rFonts w:ascii="Calibri" w:hAnsi="Calibri"/>
        </w:rPr>
        <w:t>Thinking to learn</w:t>
      </w:r>
      <w:r w:rsidR="00210511">
        <w:rPr>
          <w:rFonts w:ascii="Calibri" w:hAnsi="Calibri"/>
        </w:rPr>
        <w:t>,</w:t>
      </w:r>
      <w:r w:rsidRPr="00135D92">
        <w:rPr>
          <w:rFonts w:ascii="Calibri" w:hAnsi="Calibri"/>
        </w:rPr>
        <w:t xml:space="preserve"> learning to think and learning how to express thoughts</w:t>
      </w:r>
      <w:r w:rsidR="00210511">
        <w:rPr>
          <w:rFonts w:ascii="Calibri" w:hAnsi="Calibri"/>
        </w:rPr>
        <w:t xml:space="preserve"> </w:t>
      </w:r>
      <w:r w:rsidRPr="00135D92">
        <w:rPr>
          <w:rFonts w:ascii="Calibri" w:hAnsi="Calibri"/>
        </w:rPr>
        <w:t xml:space="preserve">are </w:t>
      </w:r>
      <w:r w:rsidR="00210511">
        <w:rPr>
          <w:rFonts w:ascii="Calibri" w:hAnsi="Calibri"/>
        </w:rPr>
        <w:t xml:space="preserve">all part of the </w:t>
      </w:r>
      <w:r w:rsidRPr="00135D92">
        <w:rPr>
          <w:rFonts w:ascii="Calibri" w:hAnsi="Calibri"/>
        </w:rPr>
        <w:t xml:space="preserve">fundamental educational background to the rapidly changing employment landscape of the twenty-first century. Part of the expression of thinking is to give reasons and provide evidence to support assertions. In my experience of examining </w:t>
      </w:r>
      <w:r>
        <w:rPr>
          <w:rFonts w:ascii="Calibri" w:hAnsi="Calibri"/>
        </w:rPr>
        <w:t xml:space="preserve">research </w:t>
      </w:r>
      <w:r w:rsidRPr="00135D92">
        <w:rPr>
          <w:rFonts w:ascii="Calibri" w:hAnsi="Calibri"/>
        </w:rPr>
        <w:t>dissertations and theses and acting as a journal referee, too much so-called academic writing is more like journalism</w:t>
      </w:r>
      <w:r w:rsidR="00210511">
        <w:rPr>
          <w:rFonts w:ascii="Calibri" w:hAnsi="Calibri"/>
        </w:rPr>
        <w:t xml:space="preserve">, </w:t>
      </w:r>
      <w:r w:rsidRPr="00135D92">
        <w:rPr>
          <w:rFonts w:ascii="Calibri" w:hAnsi="Calibri"/>
        </w:rPr>
        <w:t>where unfounded allegations and exaggerated claims abound</w:t>
      </w:r>
      <w:r w:rsidR="00210511">
        <w:rPr>
          <w:rFonts w:ascii="Calibri" w:hAnsi="Calibri"/>
        </w:rPr>
        <w:t xml:space="preserve">, </w:t>
      </w:r>
      <w:r w:rsidRPr="00135D92">
        <w:rPr>
          <w:rFonts w:ascii="Calibri" w:hAnsi="Calibri"/>
        </w:rPr>
        <w:t>leading to the dilution of genuine achievement.</w:t>
      </w:r>
      <w:r>
        <w:rPr>
          <w:rFonts w:ascii="Calibri" w:hAnsi="Calibri"/>
        </w:rPr>
        <w:t xml:space="preserve"> </w:t>
      </w:r>
    </w:p>
    <w:p w14:paraId="1ADF9028" w14:textId="0EF5F685" w:rsidR="00BF0C9B" w:rsidRDefault="00210511" w:rsidP="00210511">
      <w:pPr>
        <w:jc w:val="both"/>
        <w:rPr>
          <w:rFonts w:ascii="Calibri" w:hAnsi="Calibri" w:cs="Arial"/>
          <w:color w:val="000000"/>
        </w:rPr>
      </w:pPr>
      <w:r w:rsidRPr="00630D7F">
        <w:rPr>
          <w:rFonts w:ascii="Calibri" w:hAnsi="Calibri" w:cs="Arial"/>
        </w:rPr>
        <w:t>So,</w:t>
      </w:r>
      <w:r w:rsidR="00BF0C9B" w:rsidRPr="00630D7F">
        <w:rPr>
          <w:rFonts w:ascii="Calibri" w:hAnsi="Calibri" w:cs="Arial"/>
        </w:rPr>
        <w:t xml:space="preserve"> what is this thing called “scholarship”? Boyer’s approach to scholarship has become a benchmark for those institutions which plan to be teaching-intensive higher education providers in which scholarly activity informs teaching. Boyer disputed</w:t>
      </w:r>
      <w:r w:rsidR="00BF0C9B" w:rsidRPr="00630D7F">
        <w:rPr>
          <w:rFonts w:ascii="Calibri" w:hAnsi="Calibri" w:cs="Arial"/>
          <w:color w:val="000000"/>
        </w:rPr>
        <w:t xml:space="preserve"> the assumed cause-and-effect of scholarship on teaching</w:t>
      </w:r>
      <w:r>
        <w:rPr>
          <w:rFonts w:ascii="Calibri" w:hAnsi="Calibri" w:cs="Arial"/>
          <w:color w:val="000000"/>
        </w:rPr>
        <w:t xml:space="preserve">: </w:t>
      </w:r>
    </w:p>
    <w:p w14:paraId="307C3FD4" w14:textId="74CDB8AB" w:rsidR="00210511" w:rsidRPr="00630D7F" w:rsidRDefault="00210511" w:rsidP="00210511">
      <w:pPr>
        <w:jc w:val="center"/>
        <w:rPr>
          <w:rFonts w:ascii="Calibri" w:hAnsi="Calibri" w:cs="Arial"/>
          <w:color w:val="000000"/>
        </w:rPr>
      </w:pPr>
      <w:r>
        <w:t xml:space="preserve">Figure </w:t>
      </w:r>
      <w:r>
        <w:t>2</w:t>
      </w:r>
      <w:r>
        <w:t xml:space="preserve">: </w:t>
      </w:r>
      <w:r>
        <w:t xml:space="preserve">Chain of </w:t>
      </w:r>
      <w:r>
        <w:t>causality</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5262"/>
        <w:gridCol w:w="1721"/>
      </w:tblGrid>
      <w:tr w:rsidR="00BF0C9B" w:rsidRPr="00135D92" w14:paraId="32720DDA" w14:textId="77777777" w:rsidTr="003113D9">
        <w:tc>
          <w:tcPr>
            <w:tcW w:w="2093" w:type="dxa"/>
            <w:tcBorders>
              <w:top w:val="nil"/>
              <w:left w:val="nil"/>
              <w:bottom w:val="nil"/>
              <w:right w:val="single" w:sz="4" w:space="0" w:color="auto"/>
            </w:tcBorders>
            <w:shd w:val="clear" w:color="auto" w:fill="auto"/>
          </w:tcPr>
          <w:p w14:paraId="4F01CE0D" w14:textId="77777777" w:rsidR="00BF0C9B" w:rsidRPr="00135D92" w:rsidRDefault="00BF0C9B" w:rsidP="003113D9">
            <w:pPr>
              <w:jc w:val="both"/>
              <w:rPr>
                <w:rFonts w:ascii="Calibri" w:hAnsi="Calibri" w:cs="Arial"/>
                <w:color w:val="000000"/>
              </w:rPr>
            </w:pPr>
          </w:p>
        </w:tc>
        <w:tc>
          <w:tcPr>
            <w:tcW w:w="5386" w:type="dxa"/>
            <w:tcBorders>
              <w:left w:val="single" w:sz="4" w:space="0" w:color="auto"/>
              <w:right w:val="single" w:sz="4" w:space="0" w:color="auto"/>
            </w:tcBorders>
            <w:shd w:val="clear" w:color="auto" w:fill="auto"/>
          </w:tcPr>
          <w:p w14:paraId="134AB1B3" w14:textId="77777777" w:rsidR="00BF0C9B" w:rsidRPr="00135D92" w:rsidRDefault="00BF0C9B" w:rsidP="003113D9">
            <w:pPr>
              <w:jc w:val="center"/>
              <w:rPr>
                <w:rFonts w:ascii="Calibri" w:hAnsi="Calibri" w:cs="Arial"/>
                <w:b/>
                <w:color w:val="FF0000"/>
              </w:rPr>
            </w:pPr>
            <w:r w:rsidRPr="00135D92">
              <w:rPr>
                <w:rFonts w:ascii="Calibri" w:hAnsi="Calibri" w:cs="Arial"/>
                <w:b/>
                <w:color w:val="FF0000"/>
              </w:rPr>
              <w:t xml:space="preserve">research </w:t>
            </w:r>
            <w:r w:rsidRPr="00135D92">
              <w:rPr>
                <w:rFonts w:ascii="Calibri" w:hAnsi="Calibri" w:cs="Arial"/>
                <w:b/>
                <w:color w:val="FF0000"/>
              </w:rPr>
              <w:sym w:font="Symbol" w:char="F0DE"/>
            </w:r>
            <w:r w:rsidRPr="00135D92">
              <w:rPr>
                <w:rFonts w:ascii="Calibri" w:hAnsi="Calibri" w:cs="Arial"/>
                <w:b/>
                <w:color w:val="FF0000"/>
              </w:rPr>
              <w:t xml:space="preserve"> publication </w:t>
            </w:r>
            <w:r w:rsidRPr="00135D92">
              <w:rPr>
                <w:rFonts w:ascii="Calibri" w:hAnsi="Calibri" w:cs="Arial"/>
                <w:b/>
                <w:color w:val="FF0000"/>
              </w:rPr>
              <w:sym w:font="Symbol" w:char="F0DE"/>
            </w:r>
            <w:r w:rsidRPr="00135D92">
              <w:rPr>
                <w:rFonts w:ascii="Calibri" w:hAnsi="Calibri" w:cs="Arial"/>
                <w:b/>
                <w:color w:val="FF0000"/>
              </w:rPr>
              <w:t xml:space="preserve"> application </w:t>
            </w:r>
            <w:r w:rsidRPr="00135D92">
              <w:rPr>
                <w:rFonts w:ascii="Calibri" w:hAnsi="Calibri" w:cs="Arial"/>
                <w:b/>
                <w:color w:val="FF0000"/>
              </w:rPr>
              <w:sym w:font="Symbol" w:char="F0DE"/>
            </w:r>
            <w:r w:rsidRPr="00135D92">
              <w:rPr>
                <w:rFonts w:ascii="Calibri" w:hAnsi="Calibri" w:cs="Arial"/>
                <w:b/>
                <w:color w:val="FF0000"/>
              </w:rPr>
              <w:t xml:space="preserve"> teaching</w:t>
            </w:r>
          </w:p>
        </w:tc>
        <w:tc>
          <w:tcPr>
            <w:tcW w:w="1763" w:type="dxa"/>
            <w:tcBorders>
              <w:top w:val="nil"/>
              <w:left w:val="single" w:sz="4" w:space="0" w:color="auto"/>
              <w:bottom w:val="nil"/>
              <w:right w:val="nil"/>
            </w:tcBorders>
            <w:shd w:val="clear" w:color="auto" w:fill="auto"/>
          </w:tcPr>
          <w:p w14:paraId="338FE5DD" w14:textId="77777777" w:rsidR="00BF0C9B" w:rsidRPr="00135D92" w:rsidRDefault="00BF0C9B" w:rsidP="003113D9">
            <w:pPr>
              <w:jc w:val="both"/>
              <w:rPr>
                <w:rFonts w:ascii="Calibri" w:hAnsi="Calibri" w:cs="Arial"/>
                <w:color w:val="000000"/>
              </w:rPr>
            </w:pPr>
          </w:p>
        </w:tc>
      </w:tr>
    </w:tbl>
    <w:p w14:paraId="5C8A315F" w14:textId="77777777" w:rsidR="00BF0C9B" w:rsidRPr="00BF0C9B" w:rsidRDefault="00BF0C9B" w:rsidP="00BF0C9B">
      <w:pPr>
        <w:jc w:val="both"/>
        <w:rPr>
          <w:rFonts w:ascii="Calibri" w:hAnsi="Calibri" w:cs="Arial"/>
          <w:color w:val="000000"/>
          <w:sz w:val="4"/>
          <w:szCs w:val="4"/>
        </w:rPr>
      </w:pPr>
    </w:p>
    <w:p w14:paraId="3C94E6CC" w14:textId="77777777" w:rsidR="00BF0C9B" w:rsidRDefault="00BF0C9B" w:rsidP="00BF0C9B">
      <w:pPr>
        <w:jc w:val="both"/>
        <w:rPr>
          <w:rFonts w:ascii="Calibri" w:hAnsi="Calibri" w:cs="Arial"/>
        </w:rPr>
      </w:pPr>
      <w:r w:rsidRPr="00135D92">
        <w:rPr>
          <w:rFonts w:ascii="Calibri" w:hAnsi="Calibri" w:cs="Arial"/>
          <w:color w:val="000000"/>
        </w:rPr>
        <w:t xml:space="preserve">For Boyer, the arrow of causality can, and frequently does, point in both directions. Theory surely leads to practice. But practice also leads to theory. Teaching, at its best, shapes both research and practice. </w:t>
      </w:r>
      <w:r w:rsidRPr="00135D92">
        <w:rPr>
          <w:rFonts w:ascii="Calibri" w:hAnsi="Calibri" w:cs="Arial"/>
        </w:rPr>
        <w:t xml:space="preserve">This is at the heart of the Boyer model. </w:t>
      </w:r>
      <w:r>
        <w:rPr>
          <w:rFonts w:ascii="Calibri" w:hAnsi="Calibri" w:cs="Arial"/>
        </w:rPr>
        <w:t>We can see this in Table 2.</w:t>
      </w:r>
    </w:p>
    <w:p w14:paraId="3F54534A" w14:textId="77777777" w:rsidR="00BF0C9B" w:rsidRPr="00630D7F" w:rsidRDefault="00BF0C9B" w:rsidP="00BF0C9B">
      <w:pPr>
        <w:pStyle w:val="NoSpacing"/>
        <w:jc w:val="center"/>
        <w:rPr>
          <w:rFonts w:cs="Arial"/>
        </w:rPr>
      </w:pPr>
      <w:bookmarkStart w:id="0" w:name="Table_1"/>
      <w:r w:rsidRPr="00630D7F">
        <w:rPr>
          <w:rFonts w:cs="Arial"/>
        </w:rPr>
        <w:t>Table 2:</w:t>
      </w:r>
      <w:bookmarkEnd w:id="0"/>
      <w:r w:rsidRPr="00630D7F">
        <w:rPr>
          <w:rFonts w:cs="Arial"/>
        </w:rPr>
        <w:t xml:space="preserve"> Boyer’s Scholarly Criteria</w:t>
      </w:r>
    </w:p>
    <w:tbl>
      <w:tblPr>
        <w:tblW w:w="5000" w:type="pct"/>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1119"/>
        <w:gridCol w:w="1750"/>
        <w:gridCol w:w="6141"/>
      </w:tblGrid>
      <w:tr w:rsidR="00BF0C9B" w:rsidRPr="00630D7F" w14:paraId="2DB48D06" w14:textId="77777777" w:rsidTr="003113D9">
        <w:tc>
          <w:tcPr>
            <w:tcW w:w="621" w:type="pct"/>
            <w:tcBorders>
              <w:top w:val="outset" w:sz="6" w:space="0" w:color="000000"/>
              <w:left w:val="outset" w:sz="6" w:space="0" w:color="000000"/>
              <w:bottom w:val="outset" w:sz="6" w:space="0" w:color="000000"/>
              <w:right w:val="outset" w:sz="6" w:space="0" w:color="000000"/>
            </w:tcBorders>
            <w:shd w:val="clear" w:color="auto" w:fill="C0C0C0"/>
            <w:vAlign w:val="center"/>
          </w:tcPr>
          <w:p w14:paraId="05618783" w14:textId="77777777" w:rsidR="00BF0C9B" w:rsidRPr="00630D7F" w:rsidRDefault="00BF0C9B" w:rsidP="003113D9">
            <w:pPr>
              <w:jc w:val="center"/>
              <w:rPr>
                <w:rFonts w:ascii="Calibri" w:hAnsi="Calibri" w:cs="Arial"/>
                <w:b/>
                <w:sz w:val="20"/>
                <w:szCs w:val="20"/>
              </w:rPr>
            </w:pPr>
            <w:r w:rsidRPr="00630D7F">
              <w:rPr>
                <w:rFonts w:ascii="Calibri" w:hAnsi="Calibri" w:cs="Arial"/>
                <w:b/>
                <w:bCs/>
                <w:sz w:val="20"/>
                <w:szCs w:val="20"/>
              </w:rPr>
              <w:t>Type of Scholarship</w:t>
            </w:r>
          </w:p>
        </w:tc>
        <w:tc>
          <w:tcPr>
            <w:tcW w:w="971" w:type="pct"/>
            <w:tcBorders>
              <w:top w:val="outset" w:sz="6" w:space="0" w:color="000000"/>
              <w:left w:val="outset" w:sz="6" w:space="0" w:color="000000"/>
              <w:bottom w:val="outset" w:sz="6" w:space="0" w:color="000000"/>
              <w:right w:val="outset" w:sz="6" w:space="0" w:color="000000"/>
            </w:tcBorders>
            <w:shd w:val="clear" w:color="auto" w:fill="C0C0C0"/>
            <w:vAlign w:val="center"/>
          </w:tcPr>
          <w:p w14:paraId="099865B0" w14:textId="77777777" w:rsidR="00BF0C9B" w:rsidRPr="00630D7F" w:rsidRDefault="00BF0C9B" w:rsidP="003113D9">
            <w:pPr>
              <w:jc w:val="center"/>
              <w:rPr>
                <w:rFonts w:ascii="Calibri" w:hAnsi="Calibri" w:cs="Arial"/>
                <w:b/>
                <w:sz w:val="20"/>
                <w:szCs w:val="20"/>
              </w:rPr>
            </w:pPr>
            <w:r w:rsidRPr="00630D7F">
              <w:rPr>
                <w:rFonts w:ascii="Calibri" w:hAnsi="Calibri" w:cs="Arial"/>
                <w:b/>
                <w:bCs/>
                <w:sz w:val="20"/>
                <w:szCs w:val="20"/>
              </w:rPr>
              <w:t>Purpose</w:t>
            </w:r>
          </w:p>
        </w:tc>
        <w:tc>
          <w:tcPr>
            <w:tcW w:w="3408" w:type="pct"/>
            <w:tcBorders>
              <w:top w:val="outset" w:sz="6" w:space="0" w:color="000000"/>
              <w:left w:val="outset" w:sz="6" w:space="0" w:color="000000"/>
              <w:bottom w:val="outset" w:sz="6" w:space="0" w:color="000000"/>
              <w:right w:val="outset" w:sz="6" w:space="0" w:color="000000"/>
            </w:tcBorders>
            <w:shd w:val="clear" w:color="auto" w:fill="E8E8E8"/>
            <w:vAlign w:val="center"/>
          </w:tcPr>
          <w:p w14:paraId="3681D426" w14:textId="77777777" w:rsidR="00BF0C9B" w:rsidRPr="00630D7F" w:rsidRDefault="00BF0C9B" w:rsidP="003113D9">
            <w:pPr>
              <w:jc w:val="center"/>
              <w:rPr>
                <w:rFonts w:ascii="Calibri" w:hAnsi="Calibri" w:cs="Arial"/>
                <w:b/>
                <w:sz w:val="20"/>
                <w:szCs w:val="20"/>
              </w:rPr>
            </w:pPr>
            <w:r w:rsidRPr="00630D7F">
              <w:rPr>
                <w:rFonts w:ascii="Calibri" w:hAnsi="Calibri" w:cs="Arial"/>
                <w:b/>
                <w:bCs/>
                <w:sz w:val="20"/>
                <w:szCs w:val="20"/>
              </w:rPr>
              <w:t>Examples of Measures of Performance</w:t>
            </w:r>
          </w:p>
        </w:tc>
      </w:tr>
      <w:tr w:rsidR="00BF0C9B" w:rsidRPr="00630D7F" w14:paraId="313CB4B8" w14:textId="77777777" w:rsidTr="003113D9">
        <w:tc>
          <w:tcPr>
            <w:tcW w:w="621" w:type="pct"/>
            <w:tcBorders>
              <w:top w:val="outset" w:sz="6" w:space="0" w:color="000000"/>
              <w:left w:val="outset" w:sz="6" w:space="0" w:color="000000"/>
              <w:bottom w:val="outset" w:sz="6" w:space="0" w:color="000000"/>
              <w:right w:val="outset" w:sz="6" w:space="0" w:color="000000"/>
            </w:tcBorders>
            <w:shd w:val="clear" w:color="auto" w:fill="9C698F"/>
            <w:vAlign w:val="center"/>
          </w:tcPr>
          <w:p w14:paraId="0292E325" w14:textId="77777777" w:rsidR="00BF0C9B" w:rsidRPr="00630D7F" w:rsidRDefault="00BF0C9B" w:rsidP="003113D9">
            <w:pPr>
              <w:jc w:val="center"/>
              <w:rPr>
                <w:rFonts w:ascii="Calibri" w:hAnsi="Calibri" w:cs="Arial"/>
                <w:sz w:val="20"/>
                <w:szCs w:val="20"/>
              </w:rPr>
            </w:pPr>
            <w:r w:rsidRPr="00630D7F">
              <w:rPr>
                <w:rFonts w:ascii="Calibri" w:hAnsi="Calibri" w:cs="Arial"/>
                <w:bCs/>
                <w:sz w:val="20"/>
                <w:szCs w:val="20"/>
              </w:rPr>
              <w:t>Discovery</w:t>
            </w:r>
          </w:p>
        </w:tc>
        <w:tc>
          <w:tcPr>
            <w:tcW w:w="971" w:type="pct"/>
            <w:tcBorders>
              <w:top w:val="outset" w:sz="6" w:space="0" w:color="000000"/>
              <w:left w:val="outset" w:sz="6" w:space="0" w:color="000000"/>
              <w:bottom w:val="outset" w:sz="6" w:space="0" w:color="000000"/>
              <w:right w:val="outset" w:sz="6" w:space="0" w:color="000000"/>
            </w:tcBorders>
            <w:shd w:val="clear" w:color="auto" w:fill="CFA9B8"/>
            <w:vAlign w:val="center"/>
          </w:tcPr>
          <w:p w14:paraId="5820AC40" w14:textId="77777777" w:rsidR="00BF0C9B" w:rsidRPr="00630D7F" w:rsidRDefault="00BF0C9B" w:rsidP="003113D9">
            <w:pPr>
              <w:jc w:val="center"/>
              <w:rPr>
                <w:rFonts w:ascii="Calibri" w:hAnsi="Calibri" w:cs="Arial"/>
                <w:sz w:val="20"/>
                <w:szCs w:val="20"/>
              </w:rPr>
            </w:pPr>
            <w:r w:rsidRPr="00630D7F">
              <w:rPr>
                <w:rFonts w:ascii="Calibri" w:hAnsi="Calibri" w:cs="Arial"/>
                <w:sz w:val="20"/>
                <w:szCs w:val="20"/>
              </w:rPr>
              <w:t xml:space="preserve">Build new knowledge through traditional research. </w:t>
            </w:r>
          </w:p>
        </w:tc>
        <w:tc>
          <w:tcPr>
            <w:tcW w:w="3408" w:type="pct"/>
            <w:tcBorders>
              <w:top w:val="outset" w:sz="6" w:space="0" w:color="000000"/>
              <w:left w:val="outset" w:sz="6" w:space="0" w:color="000000"/>
              <w:bottom w:val="outset" w:sz="6" w:space="0" w:color="000000"/>
              <w:right w:val="outset" w:sz="6" w:space="0" w:color="000000"/>
            </w:tcBorders>
            <w:shd w:val="clear" w:color="auto" w:fill="E8E8E8"/>
            <w:vAlign w:val="center"/>
          </w:tcPr>
          <w:p w14:paraId="787CFABA" w14:textId="77777777" w:rsidR="00BF0C9B" w:rsidRPr="00630D7F" w:rsidRDefault="00BF0C9B" w:rsidP="00F5671F">
            <w:pPr>
              <w:numPr>
                <w:ilvl w:val="0"/>
                <w:numId w:val="3"/>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 xml:space="preserve">Publishing in peer-reviewed forums </w:t>
            </w:r>
          </w:p>
          <w:p w14:paraId="6DAB9C7E" w14:textId="77777777" w:rsidR="00BF0C9B" w:rsidRPr="00630D7F" w:rsidRDefault="00BF0C9B" w:rsidP="00F5671F">
            <w:pPr>
              <w:numPr>
                <w:ilvl w:val="0"/>
                <w:numId w:val="3"/>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 xml:space="preserve">Producing and/or performing creative work within established field </w:t>
            </w:r>
          </w:p>
          <w:p w14:paraId="6B9F6F67" w14:textId="77777777" w:rsidR="00BF0C9B" w:rsidRPr="00630D7F" w:rsidRDefault="00BF0C9B" w:rsidP="00F5671F">
            <w:pPr>
              <w:numPr>
                <w:ilvl w:val="0"/>
                <w:numId w:val="3"/>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Museum exhibit</w:t>
            </w:r>
          </w:p>
          <w:p w14:paraId="5E81B655" w14:textId="77777777" w:rsidR="00BF0C9B" w:rsidRPr="00630D7F" w:rsidRDefault="00BF0C9B" w:rsidP="00F5671F">
            <w:pPr>
              <w:numPr>
                <w:ilvl w:val="0"/>
                <w:numId w:val="3"/>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 xml:space="preserve">Creating infrastructure for future studies </w:t>
            </w:r>
          </w:p>
        </w:tc>
      </w:tr>
      <w:tr w:rsidR="00BF0C9B" w:rsidRPr="00630D7F" w14:paraId="39437790" w14:textId="77777777" w:rsidTr="003113D9">
        <w:tc>
          <w:tcPr>
            <w:tcW w:w="621" w:type="pct"/>
            <w:tcBorders>
              <w:top w:val="outset" w:sz="6" w:space="0" w:color="000000"/>
              <w:left w:val="outset" w:sz="6" w:space="0" w:color="000000"/>
              <w:bottom w:val="outset" w:sz="6" w:space="0" w:color="000000"/>
              <w:right w:val="outset" w:sz="6" w:space="0" w:color="000000"/>
            </w:tcBorders>
            <w:shd w:val="clear" w:color="auto" w:fill="E8AA06"/>
            <w:vAlign w:val="center"/>
          </w:tcPr>
          <w:p w14:paraId="00EDC885" w14:textId="77777777" w:rsidR="00BF0C9B" w:rsidRPr="00630D7F" w:rsidRDefault="00BF0C9B" w:rsidP="003113D9">
            <w:pPr>
              <w:jc w:val="center"/>
              <w:rPr>
                <w:rFonts w:ascii="Calibri" w:hAnsi="Calibri" w:cs="Arial"/>
                <w:bCs/>
                <w:sz w:val="20"/>
                <w:szCs w:val="20"/>
              </w:rPr>
            </w:pPr>
            <w:r w:rsidRPr="00630D7F">
              <w:rPr>
                <w:rFonts w:ascii="Calibri" w:hAnsi="Calibri" w:cs="Arial"/>
                <w:bCs/>
                <w:sz w:val="20"/>
                <w:szCs w:val="20"/>
              </w:rPr>
              <w:t>Integration</w:t>
            </w:r>
          </w:p>
        </w:tc>
        <w:tc>
          <w:tcPr>
            <w:tcW w:w="971" w:type="pct"/>
            <w:tcBorders>
              <w:top w:val="outset" w:sz="6" w:space="0" w:color="000000"/>
              <w:left w:val="outset" w:sz="6" w:space="0" w:color="000000"/>
              <w:bottom w:val="outset" w:sz="6" w:space="0" w:color="000000"/>
              <w:right w:val="outset" w:sz="6" w:space="0" w:color="000000"/>
            </w:tcBorders>
            <w:shd w:val="clear" w:color="auto" w:fill="FCD97C"/>
            <w:vAlign w:val="center"/>
          </w:tcPr>
          <w:p w14:paraId="3D324958" w14:textId="77777777" w:rsidR="00BF0C9B" w:rsidRPr="00630D7F" w:rsidRDefault="00BF0C9B" w:rsidP="003113D9">
            <w:pPr>
              <w:jc w:val="center"/>
              <w:rPr>
                <w:rFonts w:ascii="Calibri" w:hAnsi="Calibri" w:cs="Arial"/>
                <w:sz w:val="20"/>
                <w:szCs w:val="20"/>
              </w:rPr>
            </w:pPr>
            <w:r w:rsidRPr="00630D7F">
              <w:rPr>
                <w:rFonts w:ascii="Calibri" w:hAnsi="Calibri" w:cs="Arial"/>
                <w:sz w:val="20"/>
                <w:szCs w:val="20"/>
              </w:rPr>
              <w:t xml:space="preserve">Interpret the use of </w:t>
            </w:r>
            <w:hyperlink r:id="rId10" w:anchor="Knowledge" w:tgtFrame="\'_blank\'" w:history="1">
              <w:r w:rsidRPr="00630D7F">
                <w:rPr>
                  <w:rFonts w:ascii="Calibri" w:hAnsi="Calibri" w:cs="Arial"/>
                  <w:bCs/>
                  <w:sz w:val="20"/>
                  <w:szCs w:val="20"/>
                </w:rPr>
                <w:t>knowledge</w:t>
              </w:r>
            </w:hyperlink>
            <w:r w:rsidRPr="00630D7F">
              <w:rPr>
                <w:rFonts w:ascii="Calibri" w:hAnsi="Calibri" w:cs="Arial"/>
                <w:sz w:val="20"/>
                <w:szCs w:val="20"/>
              </w:rPr>
              <w:t xml:space="preserve"> across disciplines. </w:t>
            </w:r>
          </w:p>
        </w:tc>
        <w:tc>
          <w:tcPr>
            <w:tcW w:w="3408" w:type="pct"/>
            <w:tcBorders>
              <w:top w:val="outset" w:sz="6" w:space="0" w:color="000000"/>
              <w:left w:val="outset" w:sz="6" w:space="0" w:color="000000"/>
              <w:bottom w:val="outset" w:sz="6" w:space="0" w:color="000000"/>
              <w:right w:val="outset" w:sz="6" w:space="0" w:color="000000"/>
            </w:tcBorders>
            <w:shd w:val="clear" w:color="auto" w:fill="E8E8E8"/>
            <w:vAlign w:val="center"/>
          </w:tcPr>
          <w:p w14:paraId="4D348332" w14:textId="77777777" w:rsidR="00BF0C9B" w:rsidRPr="00630D7F" w:rsidRDefault="00BF0C9B" w:rsidP="00F5671F">
            <w:pPr>
              <w:numPr>
                <w:ilvl w:val="0"/>
                <w:numId w:val="4"/>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 xml:space="preserve">Preparing a comprehensive literature review </w:t>
            </w:r>
          </w:p>
          <w:p w14:paraId="7299EC61" w14:textId="77777777" w:rsidR="00BF0C9B" w:rsidRPr="00630D7F" w:rsidRDefault="00BF0C9B" w:rsidP="00F5671F">
            <w:pPr>
              <w:numPr>
                <w:ilvl w:val="0"/>
                <w:numId w:val="4"/>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 xml:space="preserve">Writing a textbook for use in multiple disciplines </w:t>
            </w:r>
          </w:p>
          <w:p w14:paraId="160E2F90" w14:textId="77777777" w:rsidR="00BF0C9B" w:rsidRPr="00630D7F" w:rsidRDefault="00BF0C9B" w:rsidP="00F5671F">
            <w:pPr>
              <w:numPr>
                <w:ilvl w:val="0"/>
                <w:numId w:val="4"/>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 xml:space="preserve">Collaborating with colleagues to design and deliver a core course </w:t>
            </w:r>
          </w:p>
        </w:tc>
      </w:tr>
      <w:tr w:rsidR="00BF0C9B" w:rsidRPr="00630D7F" w14:paraId="329F2FD1" w14:textId="77777777" w:rsidTr="003113D9">
        <w:tc>
          <w:tcPr>
            <w:tcW w:w="621" w:type="pct"/>
            <w:tcBorders>
              <w:top w:val="outset" w:sz="6" w:space="0" w:color="000000"/>
              <w:left w:val="outset" w:sz="6" w:space="0" w:color="000000"/>
              <w:bottom w:val="outset" w:sz="6" w:space="0" w:color="000000"/>
              <w:right w:val="outset" w:sz="6" w:space="0" w:color="000000"/>
            </w:tcBorders>
            <w:shd w:val="clear" w:color="auto" w:fill="729E49"/>
            <w:vAlign w:val="center"/>
          </w:tcPr>
          <w:p w14:paraId="6C4E9764" w14:textId="77777777" w:rsidR="00BF0C9B" w:rsidRPr="00630D7F" w:rsidRDefault="00BF0C9B" w:rsidP="003113D9">
            <w:pPr>
              <w:jc w:val="center"/>
              <w:rPr>
                <w:rFonts w:ascii="Calibri" w:hAnsi="Calibri" w:cs="Arial"/>
                <w:bCs/>
                <w:sz w:val="20"/>
                <w:szCs w:val="20"/>
              </w:rPr>
            </w:pPr>
            <w:r w:rsidRPr="00630D7F">
              <w:rPr>
                <w:rFonts w:ascii="Calibri" w:hAnsi="Calibri" w:cs="Arial"/>
                <w:bCs/>
                <w:sz w:val="20"/>
                <w:szCs w:val="20"/>
              </w:rPr>
              <w:t>Application</w:t>
            </w:r>
          </w:p>
        </w:tc>
        <w:tc>
          <w:tcPr>
            <w:tcW w:w="971" w:type="pct"/>
            <w:tcBorders>
              <w:top w:val="outset" w:sz="6" w:space="0" w:color="000000"/>
              <w:left w:val="outset" w:sz="6" w:space="0" w:color="000000"/>
              <w:bottom w:val="outset" w:sz="6" w:space="0" w:color="000000"/>
              <w:right w:val="outset" w:sz="6" w:space="0" w:color="000000"/>
            </w:tcBorders>
            <w:shd w:val="clear" w:color="auto" w:fill="B7D29D"/>
            <w:vAlign w:val="center"/>
          </w:tcPr>
          <w:p w14:paraId="1E12CD7E" w14:textId="77777777" w:rsidR="00BF0C9B" w:rsidRPr="00630D7F" w:rsidRDefault="00BF0C9B" w:rsidP="003113D9">
            <w:pPr>
              <w:jc w:val="center"/>
              <w:rPr>
                <w:rFonts w:ascii="Calibri" w:hAnsi="Calibri" w:cs="Arial"/>
                <w:sz w:val="20"/>
                <w:szCs w:val="20"/>
              </w:rPr>
            </w:pPr>
            <w:r w:rsidRPr="00630D7F">
              <w:rPr>
                <w:rFonts w:ascii="Calibri" w:hAnsi="Calibri" w:cs="Arial"/>
                <w:sz w:val="20"/>
                <w:szCs w:val="20"/>
              </w:rPr>
              <w:t xml:space="preserve">Aid society and professions in addressing problems. </w:t>
            </w:r>
          </w:p>
        </w:tc>
        <w:tc>
          <w:tcPr>
            <w:tcW w:w="3408" w:type="pct"/>
            <w:tcBorders>
              <w:top w:val="outset" w:sz="6" w:space="0" w:color="000000"/>
              <w:left w:val="outset" w:sz="6" w:space="0" w:color="000000"/>
              <w:bottom w:val="outset" w:sz="6" w:space="0" w:color="000000"/>
              <w:right w:val="outset" w:sz="6" w:space="0" w:color="000000"/>
            </w:tcBorders>
            <w:shd w:val="clear" w:color="auto" w:fill="E8E8E8"/>
            <w:vAlign w:val="center"/>
          </w:tcPr>
          <w:p w14:paraId="52621F7B" w14:textId="77777777" w:rsidR="00BF0C9B" w:rsidRPr="00630D7F" w:rsidRDefault="00BF0C9B" w:rsidP="00F5671F">
            <w:pPr>
              <w:numPr>
                <w:ilvl w:val="0"/>
                <w:numId w:val="5"/>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 xml:space="preserve">Serving industry or government as an external consultant </w:t>
            </w:r>
          </w:p>
          <w:p w14:paraId="195EA12E" w14:textId="77777777" w:rsidR="00BF0C9B" w:rsidRPr="00630D7F" w:rsidRDefault="00BF0C9B" w:rsidP="00F5671F">
            <w:pPr>
              <w:numPr>
                <w:ilvl w:val="0"/>
                <w:numId w:val="5"/>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 xml:space="preserve">Assuming leadership roles in professional organizations </w:t>
            </w:r>
          </w:p>
          <w:p w14:paraId="5E5A1FFA" w14:textId="77777777" w:rsidR="00BF0C9B" w:rsidRPr="00630D7F" w:rsidRDefault="00BF0C9B" w:rsidP="00F5671F">
            <w:pPr>
              <w:numPr>
                <w:ilvl w:val="0"/>
                <w:numId w:val="5"/>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 xml:space="preserve">Advising student leaders, thereby fostering their professional growth </w:t>
            </w:r>
          </w:p>
          <w:p w14:paraId="4289917D" w14:textId="77777777" w:rsidR="00BF0C9B" w:rsidRPr="00630D7F" w:rsidRDefault="00BF0C9B" w:rsidP="00F5671F">
            <w:pPr>
              <w:numPr>
                <w:ilvl w:val="0"/>
                <w:numId w:val="5"/>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Technical report, study, presentation, pamphlet, survey, building a prototype, developing a methodology or protocol, a significant speech</w:t>
            </w:r>
          </w:p>
        </w:tc>
      </w:tr>
      <w:tr w:rsidR="00BF0C9B" w:rsidRPr="00630D7F" w14:paraId="3680AF94" w14:textId="77777777" w:rsidTr="003113D9">
        <w:tc>
          <w:tcPr>
            <w:tcW w:w="621" w:type="pct"/>
            <w:tcBorders>
              <w:top w:val="outset" w:sz="6" w:space="0" w:color="000000"/>
              <w:left w:val="outset" w:sz="6" w:space="0" w:color="000000"/>
              <w:bottom w:val="outset" w:sz="6" w:space="0" w:color="000000"/>
              <w:right w:val="outset" w:sz="6" w:space="0" w:color="000000"/>
            </w:tcBorders>
            <w:shd w:val="clear" w:color="auto" w:fill="4175E0"/>
            <w:vAlign w:val="center"/>
          </w:tcPr>
          <w:p w14:paraId="1FFA42BD" w14:textId="77777777" w:rsidR="00BF0C9B" w:rsidRPr="00630D7F" w:rsidRDefault="00BF0C9B" w:rsidP="003113D9">
            <w:pPr>
              <w:jc w:val="center"/>
              <w:rPr>
                <w:rFonts w:ascii="Calibri" w:hAnsi="Calibri" w:cs="Arial"/>
                <w:bCs/>
                <w:sz w:val="20"/>
                <w:szCs w:val="20"/>
              </w:rPr>
            </w:pPr>
            <w:r w:rsidRPr="00630D7F">
              <w:rPr>
                <w:rFonts w:ascii="Calibri" w:hAnsi="Calibri" w:cs="Arial"/>
                <w:bCs/>
                <w:sz w:val="20"/>
                <w:szCs w:val="20"/>
              </w:rPr>
              <w:lastRenderedPageBreak/>
              <w:t xml:space="preserve">Teaching </w:t>
            </w:r>
          </w:p>
        </w:tc>
        <w:tc>
          <w:tcPr>
            <w:tcW w:w="971" w:type="pct"/>
            <w:tcBorders>
              <w:top w:val="outset" w:sz="6" w:space="0" w:color="000000"/>
              <w:left w:val="outset" w:sz="6" w:space="0" w:color="000000"/>
              <w:bottom w:val="outset" w:sz="6" w:space="0" w:color="000000"/>
              <w:right w:val="outset" w:sz="6" w:space="0" w:color="000000"/>
            </w:tcBorders>
            <w:shd w:val="clear" w:color="auto" w:fill="A4BCF0"/>
            <w:vAlign w:val="center"/>
          </w:tcPr>
          <w:p w14:paraId="5EDF1005" w14:textId="77777777" w:rsidR="00BF0C9B" w:rsidRPr="00630D7F" w:rsidRDefault="00BF0C9B" w:rsidP="003113D9">
            <w:pPr>
              <w:jc w:val="center"/>
              <w:rPr>
                <w:rFonts w:ascii="Calibri" w:hAnsi="Calibri" w:cs="Arial"/>
                <w:sz w:val="20"/>
                <w:szCs w:val="20"/>
              </w:rPr>
            </w:pPr>
            <w:r w:rsidRPr="00630D7F">
              <w:rPr>
                <w:rFonts w:ascii="Calibri" w:hAnsi="Calibri" w:cs="Arial"/>
                <w:sz w:val="20"/>
                <w:szCs w:val="20"/>
              </w:rPr>
              <w:t xml:space="preserve">Study teaching models and practices to achieve optimal learning. </w:t>
            </w:r>
          </w:p>
        </w:tc>
        <w:tc>
          <w:tcPr>
            <w:tcW w:w="3408" w:type="pct"/>
            <w:tcBorders>
              <w:top w:val="outset" w:sz="6" w:space="0" w:color="000000"/>
              <w:left w:val="outset" w:sz="6" w:space="0" w:color="000000"/>
              <w:bottom w:val="outset" w:sz="6" w:space="0" w:color="000000"/>
              <w:right w:val="outset" w:sz="6" w:space="0" w:color="000000"/>
            </w:tcBorders>
            <w:shd w:val="clear" w:color="auto" w:fill="E8E8E8"/>
            <w:vAlign w:val="center"/>
          </w:tcPr>
          <w:p w14:paraId="2E7674F9" w14:textId="77777777" w:rsidR="00BF0C9B" w:rsidRPr="00630D7F" w:rsidRDefault="00BF0C9B" w:rsidP="00F5671F">
            <w:pPr>
              <w:numPr>
                <w:ilvl w:val="0"/>
                <w:numId w:val="6"/>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 xml:space="preserve">Advancing learning theory through classroom </w:t>
            </w:r>
            <w:hyperlink r:id="rId11" w:anchor="Research" w:tgtFrame="\'_blank\'" w:history="1">
              <w:r w:rsidRPr="00630D7F">
                <w:rPr>
                  <w:rFonts w:ascii="Calibri" w:hAnsi="Calibri" w:cs="Arial"/>
                  <w:bCs/>
                  <w:position w:val="3"/>
                  <w:sz w:val="20"/>
                  <w:szCs w:val="20"/>
                </w:rPr>
                <w:t>research</w:t>
              </w:r>
            </w:hyperlink>
          </w:p>
          <w:p w14:paraId="1172302E" w14:textId="77777777" w:rsidR="00BF0C9B" w:rsidRPr="00630D7F" w:rsidRDefault="00BF0C9B" w:rsidP="00F5671F">
            <w:pPr>
              <w:numPr>
                <w:ilvl w:val="0"/>
                <w:numId w:val="6"/>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Developing and testing instructional materials or new teaching methods</w:t>
            </w:r>
          </w:p>
          <w:p w14:paraId="64AEFF45" w14:textId="77777777" w:rsidR="00BF0C9B" w:rsidRPr="00630D7F" w:rsidRDefault="00BF0C9B" w:rsidP="00F5671F">
            <w:pPr>
              <w:numPr>
                <w:ilvl w:val="0"/>
                <w:numId w:val="6"/>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Developing on-line materials, running a wiki or blog</w:t>
            </w:r>
          </w:p>
          <w:p w14:paraId="2883DA80" w14:textId="77777777" w:rsidR="00BF0C9B" w:rsidRPr="00630D7F" w:rsidRDefault="00BF0C9B" w:rsidP="00F5671F">
            <w:pPr>
              <w:numPr>
                <w:ilvl w:val="0"/>
                <w:numId w:val="6"/>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 xml:space="preserve">Mentoring postgraduate students </w:t>
            </w:r>
          </w:p>
          <w:p w14:paraId="65623192" w14:textId="77777777" w:rsidR="00BF0C9B" w:rsidRPr="00630D7F" w:rsidRDefault="00BF0C9B" w:rsidP="00F5671F">
            <w:pPr>
              <w:numPr>
                <w:ilvl w:val="0"/>
                <w:numId w:val="6"/>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 xml:space="preserve">Designing and implementing a program-level assessment system </w:t>
            </w:r>
          </w:p>
          <w:p w14:paraId="03149C6A" w14:textId="77777777" w:rsidR="00BF0C9B" w:rsidRPr="00630D7F" w:rsidRDefault="00BF0C9B" w:rsidP="00F5671F">
            <w:pPr>
              <w:numPr>
                <w:ilvl w:val="0"/>
                <w:numId w:val="6"/>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A funded teaching or training initiative</w:t>
            </w:r>
          </w:p>
          <w:p w14:paraId="48C130FA" w14:textId="77777777" w:rsidR="00BF0C9B" w:rsidRPr="00630D7F" w:rsidRDefault="00BF0C9B" w:rsidP="00F5671F">
            <w:pPr>
              <w:numPr>
                <w:ilvl w:val="0"/>
                <w:numId w:val="6"/>
              </w:numPr>
              <w:spacing w:after="0" w:line="240" w:lineRule="auto"/>
              <w:ind w:left="523" w:hanging="284"/>
              <w:contextualSpacing/>
              <w:rPr>
                <w:rFonts w:ascii="Calibri" w:hAnsi="Calibri" w:cs="Arial"/>
                <w:position w:val="3"/>
                <w:sz w:val="20"/>
                <w:szCs w:val="20"/>
              </w:rPr>
            </w:pPr>
            <w:r w:rsidRPr="00630D7F">
              <w:rPr>
                <w:rFonts w:ascii="Calibri" w:hAnsi="Calibri" w:cs="Arial"/>
                <w:position w:val="3"/>
                <w:sz w:val="20"/>
                <w:szCs w:val="20"/>
              </w:rPr>
              <w:t>Contribution to accreditation or quality systems and documentation</w:t>
            </w:r>
          </w:p>
        </w:tc>
      </w:tr>
    </w:tbl>
    <w:p w14:paraId="06FBBFCB" w14:textId="77777777" w:rsidR="00BF0C9B" w:rsidRPr="00135D92" w:rsidRDefault="00BF0C9B" w:rsidP="00BF0C9B">
      <w:pPr>
        <w:jc w:val="both"/>
        <w:rPr>
          <w:rFonts w:ascii="Calibri" w:hAnsi="Calibri" w:cs="Arial"/>
        </w:rPr>
      </w:pPr>
    </w:p>
    <w:p w14:paraId="02F9951C" w14:textId="4041E5A7" w:rsidR="00BF0C9B" w:rsidRPr="00651874" w:rsidRDefault="00BF0C9B" w:rsidP="00210511">
      <w:pPr>
        <w:pStyle w:val="NoSpacing"/>
        <w:jc w:val="both"/>
        <w:rPr>
          <w:rFonts w:cs="Arial"/>
        </w:rPr>
      </w:pPr>
      <w:r w:rsidRPr="00651874">
        <w:rPr>
          <w:rFonts w:cs="Arial"/>
        </w:rPr>
        <w:t>The place of scholarship in a higher education provider relates to the minimisation of strategic risks.  While risk management policies usually try to take into account preventable risks and external risks, scholarly activity is among those risks often taken for short term gains.  It is a risk because it must be funded, but it can impact cost-effectively if the resource allocation is appropriate</w:t>
      </w:r>
      <w:r w:rsidR="00651874" w:rsidRPr="00651874">
        <w:rPr>
          <w:rStyle w:val="EndnoteReference"/>
          <w:rFonts w:cs="Arial"/>
        </w:rPr>
        <w:endnoteReference w:id="7"/>
      </w:r>
      <w:r w:rsidRPr="00651874">
        <w:rPr>
          <w:rFonts w:cs="Arial"/>
        </w:rPr>
        <w:t>.  Furthermore, as we are in an environment that requires more and more reporting of measures, particularly quantitative data, we also need to consider how we measure scholarship, and to what extent such measures have meaning.</w:t>
      </w:r>
    </w:p>
    <w:p w14:paraId="1A441F3F" w14:textId="77777777" w:rsidR="002469FB" w:rsidRPr="00651874" w:rsidRDefault="002469FB" w:rsidP="002469FB">
      <w:pPr>
        <w:pStyle w:val="NoSpacing"/>
        <w:jc w:val="both"/>
      </w:pPr>
    </w:p>
    <w:p w14:paraId="37293964" w14:textId="3FCA85AB" w:rsidR="00BF0C9B" w:rsidRPr="00651874" w:rsidRDefault="00BF0C9B" w:rsidP="00651874">
      <w:pPr>
        <w:pStyle w:val="NoSpacing"/>
        <w:jc w:val="both"/>
      </w:pPr>
      <w:r w:rsidRPr="00651874">
        <w:t>If we are serious about measuring teaching quality at university, where is the metric for qualified educators? Most agree that it is both important and worthwhile to assess teaching but there has been some criticism that the proposals are a poor measure of the quality of actual teaching, or indeed learning.</w:t>
      </w:r>
    </w:p>
    <w:p w14:paraId="5AEE07B9" w14:textId="77777777" w:rsidR="00BF0C9B" w:rsidRPr="00651874" w:rsidRDefault="00BF0C9B" w:rsidP="00BF0C9B">
      <w:pPr>
        <w:shd w:val="clear" w:color="auto" w:fill="FFFFFF"/>
        <w:spacing w:before="120" w:after="120" w:line="240" w:lineRule="auto"/>
        <w:jc w:val="both"/>
        <w:rPr>
          <w:rFonts w:eastAsia="Times New Roman" w:cstheme="minorHAnsi"/>
          <w:b/>
          <w:bCs/>
          <w:color w:val="333333"/>
          <w:lang w:eastAsia="en-AU"/>
        </w:rPr>
      </w:pPr>
      <w:r w:rsidRPr="00651874">
        <w:rPr>
          <w:rFonts w:eastAsia="Times New Roman" w:cstheme="minorHAnsi"/>
          <w:b/>
          <w:bCs/>
          <w:color w:val="333333"/>
          <w:lang w:eastAsia="en-AU"/>
        </w:rPr>
        <w:t>Quantitative Social Science</w:t>
      </w:r>
    </w:p>
    <w:p w14:paraId="74F20440" w14:textId="6E4EB64A" w:rsidR="00BF0C9B" w:rsidRPr="002469FB" w:rsidRDefault="002469FB" w:rsidP="00BF0C9B">
      <w:pPr>
        <w:shd w:val="clear" w:color="auto" w:fill="FFFFFF"/>
        <w:jc w:val="both"/>
        <w:rPr>
          <w:rFonts w:eastAsia="Times New Roman" w:cstheme="minorHAnsi"/>
          <w:color w:val="333333"/>
          <w:lang w:eastAsia="en-AU"/>
        </w:rPr>
      </w:pPr>
      <w:r>
        <w:rPr>
          <w:rFonts w:eastAsia="Times New Roman" w:cstheme="minorHAnsi"/>
          <w:color w:val="333333"/>
          <w:lang w:eastAsia="en-AU"/>
        </w:rPr>
        <w:t xml:space="preserve">Scholars who work in </w:t>
      </w:r>
      <w:r w:rsidR="00BF0C9B" w:rsidRPr="002469FB">
        <w:rPr>
          <w:rFonts w:eastAsia="Times New Roman" w:cstheme="minorHAnsi"/>
          <w:color w:val="333333"/>
          <w:lang w:eastAsia="en-AU"/>
        </w:rPr>
        <w:t>fields where randomised trials are not realistically appropriate</w:t>
      </w:r>
      <w:r>
        <w:rPr>
          <w:rFonts w:eastAsia="Times New Roman" w:cstheme="minorHAnsi"/>
          <w:color w:val="333333"/>
          <w:lang w:eastAsia="en-AU"/>
        </w:rPr>
        <w:t>,</w:t>
      </w:r>
      <w:r w:rsidR="00BF0C9B" w:rsidRPr="002469FB">
        <w:rPr>
          <w:rFonts w:eastAsia="Times New Roman" w:cstheme="minorHAnsi"/>
          <w:color w:val="333333"/>
          <w:lang w:eastAsia="en-AU"/>
        </w:rPr>
        <w:t xml:space="preserve"> </w:t>
      </w:r>
      <w:r>
        <w:rPr>
          <w:rFonts w:eastAsia="Times New Roman" w:cstheme="minorHAnsi"/>
          <w:color w:val="333333"/>
          <w:lang w:eastAsia="en-AU"/>
        </w:rPr>
        <w:t xml:space="preserve">are not able to utilise </w:t>
      </w:r>
      <w:r w:rsidRPr="002469FB">
        <w:rPr>
          <w:rFonts w:eastAsia="Times New Roman" w:cstheme="minorHAnsi"/>
          <w:color w:val="333333"/>
          <w:lang w:eastAsia="en-AU"/>
        </w:rPr>
        <w:t>some of the classic quantitative tools</w:t>
      </w:r>
      <w:r>
        <w:rPr>
          <w:rFonts w:eastAsia="Times New Roman" w:cstheme="minorHAnsi"/>
          <w:color w:val="333333"/>
          <w:lang w:eastAsia="en-AU"/>
        </w:rPr>
        <w:t xml:space="preserve">. However, there is still the need to </w:t>
      </w:r>
      <w:r w:rsidRPr="002469FB">
        <w:rPr>
          <w:rFonts w:eastAsia="Times New Roman" w:cstheme="minorHAnsi"/>
          <w:color w:val="333333"/>
          <w:lang w:eastAsia="en-AU"/>
        </w:rPr>
        <w:t xml:space="preserve">search for </w:t>
      </w:r>
      <w:r w:rsidRPr="002469FB">
        <w:rPr>
          <w:rFonts w:eastAsia="Times New Roman" w:cstheme="minorHAnsi"/>
          <w:lang w:eastAsia="en-AU"/>
        </w:rPr>
        <w:t>techniques to illustrate their research designs and methods to validate their findings among their peers.</w:t>
      </w:r>
      <w:r>
        <w:rPr>
          <w:rFonts w:eastAsia="Times New Roman" w:cstheme="minorHAnsi"/>
          <w:color w:val="333333"/>
          <w:lang w:eastAsia="en-AU"/>
        </w:rPr>
        <w:t xml:space="preserve"> </w:t>
      </w:r>
      <w:r w:rsidR="00BF0C9B" w:rsidRPr="002469FB">
        <w:rPr>
          <w:rFonts w:eastAsia="Times New Roman" w:cstheme="minorHAnsi"/>
          <w:lang w:eastAsia="en-AU"/>
        </w:rPr>
        <w:t xml:space="preserve">In a paper by Tyler </w:t>
      </w:r>
      <w:hyperlink r:id="rId12" w:history="1">
        <w:r w:rsidR="00BF0C9B" w:rsidRPr="002469FB">
          <w:rPr>
            <w:rStyle w:val="Hyperlink"/>
            <w:rFonts w:cstheme="minorHAnsi"/>
            <w:color w:val="auto"/>
            <w:u w:val="none"/>
          </w:rPr>
          <w:t>VanderWeele</w:t>
        </w:r>
      </w:hyperlink>
      <w:r w:rsidR="00BF0C9B" w:rsidRPr="002469FB">
        <w:rPr>
          <w:rStyle w:val="Hyperlink"/>
          <w:rFonts w:cstheme="minorHAnsi"/>
          <w:color w:val="auto"/>
          <w:u w:val="none"/>
        </w:rPr>
        <w:t xml:space="preserve"> of Harvard </w:t>
      </w:r>
      <w:r w:rsidR="00BF0C9B" w:rsidRPr="002469FB">
        <w:rPr>
          <w:rStyle w:val="authors-list-item"/>
          <w:rFonts w:cstheme="minorHAnsi"/>
        </w:rPr>
        <w:t>and</w:t>
      </w:r>
      <w:r w:rsidR="00BF0C9B" w:rsidRPr="002469FB">
        <w:rPr>
          <w:rStyle w:val="comma"/>
          <w:rFonts w:cstheme="minorHAnsi"/>
        </w:rPr>
        <w:t> </w:t>
      </w:r>
      <w:hyperlink r:id="rId13" w:history="1">
        <w:r w:rsidR="00BF0C9B" w:rsidRPr="002469FB">
          <w:rPr>
            <w:rStyle w:val="Hyperlink"/>
            <w:rFonts w:cstheme="minorHAnsi"/>
            <w:color w:val="auto"/>
            <w:u w:val="none"/>
          </w:rPr>
          <w:t xml:space="preserve">Stijn </w:t>
        </w:r>
        <w:proofErr w:type="spellStart"/>
        <w:r w:rsidR="00BF0C9B" w:rsidRPr="002469FB">
          <w:rPr>
            <w:rStyle w:val="Hyperlink"/>
            <w:rFonts w:cstheme="minorHAnsi"/>
            <w:color w:val="auto"/>
            <w:u w:val="none"/>
          </w:rPr>
          <w:t>Vansteelandt</w:t>
        </w:r>
        <w:proofErr w:type="spellEnd"/>
      </w:hyperlink>
      <w:r w:rsidR="00BF0C9B" w:rsidRPr="002469FB">
        <w:rPr>
          <w:rStyle w:val="Hyperlink"/>
          <w:rFonts w:cstheme="minorHAnsi"/>
          <w:color w:val="auto"/>
          <w:u w:val="none"/>
        </w:rPr>
        <w:t xml:space="preserve"> of Ghent University</w:t>
      </w:r>
      <w:r w:rsidR="003A2A97">
        <w:rPr>
          <w:rStyle w:val="EndnoteReference"/>
          <w:rFonts w:cstheme="minorHAnsi"/>
        </w:rPr>
        <w:endnoteReference w:id="8"/>
      </w:r>
      <w:r w:rsidR="00BF0C9B" w:rsidRPr="002469FB">
        <w:rPr>
          <w:rStyle w:val="Hyperlink"/>
          <w:rFonts w:cstheme="minorHAnsi"/>
          <w:color w:val="auto"/>
          <w:u w:val="none"/>
        </w:rPr>
        <w:t>,</w:t>
      </w:r>
      <w:r w:rsidR="00BF0C9B" w:rsidRPr="002469FB">
        <w:rPr>
          <w:rFonts w:eastAsia="Times New Roman" w:cstheme="minorHAnsi"/>
          <w:lang w:eastAsia="en-AU"/>
        </w:rPr>
        <w:t xml:space="preserve"> the authors show that common </w:t>
      </w:r>
      <w:r w:rsidR="00BF0C9B" w:rsidRPr="002469FB">
        <w:rPr>
          <w:rFonts w:cstheme="minorHAnsi"/>
        </w:rPr>
        <w:t xml:space="preserve">structural assumptions have empirically testable implications, even though the latent variable itself </w:t>
      </w:r>
      <w:r w:rsidR="00BF0C9B" w:rsidRPr="002469FB">
        <w:rPr>
          <w:rFonts w:cstheme="minorHAnsi"/>
          <w:color w:val="212121"/>
        </w:rPr>
        <w:t xml:space="preserve">is unobserved. Through a series of carefully enunciated </w:t>
      </w:r>
      <w:r w:rsidRPr="002469FB">
        <w:rPr>
          <w:rFonts w:cstheme="minorHAnsi"/>
          <w:color w:val="212121"/>
        </w:rPr>
        <w:t>theorems,</w:t>
      </w:r>
      <w:r w:rsidR="00BF0C9B" w:rsidRPr="002469FB">
        <w:rPr>
          <w:rFonts w:cstheme="minorHAnsi"/>
          <w:color w:val="212121"/>
        </w:rPr>
        <w:t xml:space="preserve"> they develop a series of 10 tests which are listed in Table 3. </w:t>
      </w:r>
    </w:p>
    <w:p w14:paraId="16EB05D7" w14:textId="77777777" w:rsidR="00BF0C9B" w:rsidRPr="002469FB" w:rsidRDefault="00BF0C9B" w:rsidP="00BF0C9B">
      <w:pPr>
        <w:pStyle w:val="NormalWeb"/>
        <w:shd w:val="clear" w:color="auto" w:fill="FFFFFF"/>
        <w:spacing w:before="0" w:beforeAutospacing="0" w:after="120" w:afterAutospacing="0"/>
        <w:jc w:val="center"/>
        <w:rPr>
          <w:rFonts w:asciiTheme="minorHAnsi" w:hAnsiTheme="minorHAnsi" w:cstheme="minorHAnsi"/>
          <w:color w:val="212121"/>
          <w:sz w:val="22"/>
          <w:szCs w:val="22"/>
        </w:rPr>
      </w:pPr>
      <w:r w:rsidRPr="002469FB">
        <w:rPr>
          <w:rFonts w:asciiTheme="minorHAnsi" w:hAnsiTheme="minorHAnsi" w:cstheme="minorHAnsi"/>
          <w:color w:val="212121"/>
          <w:sz w:val="22"/>
          <w:szCs w:val="22"/>
        </w:rPr>
        <w:t>Table 3: Latent factor modelling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8288"/>
      </w:tblGrid>
      <w:tr w:rsidR="00BF0C9B" w:rsidRPr="002469FB" w14:paraId="480DE6C5" w14:textId="77777777" w:rsidTr="00F13693">
        <w:tc>
          <w:tcPr>
            <w:tcW w:w="704" w:type="dxa"/>
            <w:shd w:val="clear" w:color="auto" w:fill="auto"/>
          </w:tcPr>
          <w:p w14:paraId="514BBE27" w14:textId="77777777" w:rsidR="00BF0C9B" w:rsidRPr="002469FB" w:rsidRDefault="00BF0C9B" w:rsidP="003113D9">
            <w:pPr>
              <w:jc w:val="center"/>
              <w:rPr>
                <w:rFonts w:cstheme="minorHAnsi"/>
                <w:b/>
                <w:bCs/>
              </w:rPr>
            </w:pPr>
            <w:r w:rsidRPr="002469FB">
              <w:rPr>
                <w:rFonts w:cstheme="minorHAnsi"/>
                <w:b/>
                <w:bCs/>
              </w:rPr>
              <w:t>TJVW No.</w:t>
            </w:r>
          </w:p>
        </w:tc>
        <w:tc>
          <w:tcPr>
            <w:tcW w:w="8312" w:type="dxa"/>
            <w:shd w:val="clear" w:color="auto" w:fill="auto"/>
          </w:tcPr>
          <w:p w14:paraId="61CACF15" w14:textId="77777777" w:rsidR="00BF0C9B" w:rsidRPr="002469FB" w:rsidRDefault="00BF0C9B" w:rsidP="003113D9">
            <w:pPr>
              <w:jc w:val="center"/>
              <w:rPr>
                <w:rFonts w:cstheme="minorHAnsi"/>
                <w:b/>
                <w:bCs/>
                <w:sz w:val="8"/>
                <w:szCs w:val="8"/>
              </w:rPr>
            </w:pPr>
          </w:p>
          <w:p w14:paraId="3C774E91" w14:textId="77777777" w:rsidR="00BF0C9B" w:rsidRPr="002469FB" w:rsidRDefault="00BF0C9B" w:rsidP="003113D9">
            <w:pPr>
              <w:jc w:val="center"/>
              <w:rPr>
                <w:rFonts w:cstheme="minorHAnsi"/>
                <w:b/>
                <w:bCs/>
              </w:rPr>
            </w:pPr>
            <w:r w:rsidRPr="002469FB">
              <w:rPr>
                <w:rFonts w:cstheme="minorHAnsi"/>
                <w:b/>
                <w:bCs/>
              </w:rPr>
              <w:t>Summary title of model</w:t>
            </w:r>
          </w:p>
        </w:tc>
      </w:tr>
      <w:tr w:rsidR="00BF0C9B" w:rsidRPr="00D4748E" w14:paraId="738E460A" w14:textId="77777777" w:rsidTr="00F13693">
        <w:tc>
          <w:tcPr>
            <w:tcW w:w="704" w:type="dxa"/>
            <w:shd w:val="clear" w:color="auto" w:fill="auto"/>
          </w:tcPr>
          <w:p w14:paraId="585AE217" w14:textId="77777777" w:rsidR="00BF0C9B" w:rsidRPr="00D4748E" w:rsidRDefault="00BF0C9B" w:rsidP="003113D9">
            <w:pPr>
              <w:jc w:val="center"/>
              <w:rPr>
                <w:rFonts w:cstheme="minorHAnsi"/>
              </w:rPr>
            </w:pPr>
            <w:r w:rsidRPr="00D4748E">
              <w:rPr>
                <w:rFonts w:cstheme="minorHAnsi"/>
              </w:rPr>
              <w:t>1</w:t>
            </w:r>
          </w:p>
        </w:tc>
        <w:tc>
          <w:tcPr>
            <w:tcW w:w="8312" w:type="dxa"/>
            <w:shd w:val="clear" w:color="auto" w:fill="auto"/>
          </w:tcPr>
          <w:p w14:paraId="31A073FC" w14:textId="77777777" w:rsidR="00BF0C9B" w:rsidRPr="00D4748E" w:rsidRDefault="00BF0C9B" w:rsidP="003113D9">
            <w:pPr>
              <w:ind w:left="284" w:hanging="220"/>
              <w:rPr>
                <w:rFonts w:cstheme="minorHAnsi"/>
                <w:bdr w:val="none" w:sz="0" w:space="0" w:color="auto" w:frame="1"/>
                <w:lang w:eastAsia="en-AU"/>
              </w:rPr>
            </w:pPr>
            <w:r w:rsidRPr="00D4748E">
              <w:rPr>
                <w:rFonts w:cstheme="minorHAnsi"/>
                <w:lang w:eastAsia="en-AU"/>
              </w:rPr>
              <w:t>Basic latent factor model with latent </w:t>
            </w:r>
            <w:r w:rsidRPr="00D4748E">
              <w:rPr>
                <w:rFonts w:cstheme="minorHAnsi"/>
                <w:b/>
                <w:bCs/>
                <w:i/>
                <w:iCs/>
                <w:lang w:eastAsia="en-AU"/>
              </w:rPr>
              <w:t>η</w:t>
            </w:r>
            <w:r w:rsidRPr="00D4748E">
              <w:rPr>
                <w:rFonts w:cstheme="minorHAnsi"/>
                <w:lang w:eastAsia="en-AU"/>
              </w:rPr>
              <w:t> and indicators </w:t>
            </w:r>
            <w:r w:rsidRPr="00D4748E">
              <w:rPr>
                <w:rFonts w:cstheme="minorHAnsi"/>
                <w:b/>
                <w:bCs/>
                <w:bdr w:val="none" w:sz="0" w:space="0" w:color="auto" w:frame="1"/>
                <w:lang w:eastAsia="en-AU"/>
              </w:rPr>
              <w:t>(</w:t>
            </w:r>
            <w:r w:rsidRPr="00D4748E">
              <w:rPr>
                <w:rFonts w:cstheme="minorHAnsi"/>
                <w:b/>
                <w:bCs/>
                <w:i/>
                <w:iCs/>
                <w:bdr w:val="none" w:sz="0" w:space="0" w:color="auto" w:frame="1"/>
                <w:lang w:eastAsia="en-AU"/>
              </w:rPr>
              <w:t>X</w:t>
            </w:r>
            <w:r w:rsidRPr="00D4748E">
              <w:rPr>
                <w:rFonts w:cstheme="minorHAnsi"/>
                <w:b/>
                <w:bCs/>
                <w:bdr w:val="none" w:sz="0" w:space="0" w:color="auto" w:frame="1"/>
                <w:vertAlign w:val="subscript"/>
                <w:lang w:eastAsia="en-AU"/>
              </w:rPr>
              <w:t>1</w:t>
            </w:r>
            <w:r w:rsidRPr="00D4748E">
              <w:rPr>
                <w:rFonts w:cstheme="minorHAnsi"/>
                <w:b/>
                <w:bCs/>
                <w:bdr w:val="none" w:sz="0" w:space="0" w:color="auto" w:frame="1"/>
                <w:lang w:eastAsia="en-AU"/>
              </w:rPr>
              <w:t>,…,</w:t>
            </w:r>
            <w:proofErr w:type="spellStart"/>
            <w:r w:rsidRPr="00D4748E">
              <w:rPr>
                <w:rFonts w:cstheme="minorHAnsi"/>
                <w:b/>
                <w:bCs/>
                <w:i/>
                <w:iCs/>
                <w:bdr w:val="none" w:sz="0" w:space="0" w:color="auto" w:frame="1"/>
                <w:lang w:eastAsia="en-AU"/>
              </w:rPr>
              <w:t>X</w:t>
            </w:r>
            <w:r w:rsidRPr="00D4748E">
              <w:rPr>
                <w:rFonts w:cstheme="minorHAnsi"/>
                <w:b/>
                <w:bCs/>
                <w:i/>
                <w:iCs/>
                <w:bdr w:val="none" w:sz="0" w:space="0" w:color="auto" w:frame="1"/>
                <w:vertAlign w:val="subscript"/>
                <w:lang w:eastAsia="en-AU"/>
              </w:rPr>
              <w:t>d</w:t>
            </w:r>
            <w:proofErr w:type="spellEnd"/>
            <w:r w:rsidRPr="00D4748E">
              <w:rPr>
                <w:rFonts w:cstheme="minorHAnsi"/>
                <w:b/>
                <w:bCs/>
                <w:bdr w:val="none" w:sz="0" w:space="0" w:color="auto" w:frame="1"/>
                <w:lang w:eastAsia="en-AU"/>
              </w:rPr>
              <w:t>)</w:t>
            </w:r>
          </w:p>
        </w:tc>
      </w:tr>
      <w:tr w:rsidR="00BF0C9B" w:rsidRPr="00D4748E" w14:paraId="0043874A" w14:textId="77777777" w:rsidTr="00F13693">
        <w:tc>
          <w:tcPr>
            <w:tcW w:w="704" w:type="dxa"/>
            <w:shd w:val="clear" w:color="auto" w:fill="auto"/>
          </w:tcPr>
          <w:p w14:paraId="3421D004" w14:textId="77777777" w:rsidR="00BF0C9B" w:rsidRPr="00D4748E" w:rsidRDefault="00BF0C9B" w:rsidP="003113D9">
            <w:pPr>
              <w:jc w:val="center"/>
              <w:rPr>
                <w:rFonts w:cstheme="minorHAnsi"/>
              </w:rPr>
            </w:pPr>
            <w:r w:rsidRPr="00D4748E">
              <w:rPr>
                <w:rFonts w:cstheme="minorHAnsi"/>
              </w:rPr>
              <w:t>2(a)</w:t>
            </w:r>
          </w:p>
        </w:tc>
        <w:tc>
          <w:tcPr>
            <w:tcW w:w="8312" w:type="dxa"/>
            <w:shd w:val="clear" w:color="auto" w:fill="auto"/>
          </w:tcPr>
          <w:p w14:paraId="1035EFF7" w14:textId="77777777" w:rsidR="00BF0C9B" w:rsidRPr="00D4748E" w:rsidRDefault="00BF0C9B" w:rsidP="003113D9">
            <w:pPr>
              <w:ind w:firstLine="63"/>
              <w:rPr>
                <w:rFonts w:cstheme="minorHAnsi"/>
              </w:rPr>
            </w:pPr>
            <w:r w:rsidRPr="00D4748E">
              <w:rPr>
                <w:rFonts w:cstheme="minorHAnsi"/>
                <w:color w:val="212121"/>
              </w:rPr>
              <w:t>Structural latent factor model</w:t>
            </w:r>
          </w:p>
        </w:tc>
      </w:tr>
      <w:tr w:rsidR="00BF0C9B" w:rsidRPr="00D4748E" w14:paraId="00872D1E" w14:textId="77777777" w:rsidTr="00F13693">
        <w:tc>
          <w:tcPr>
            <w:tcW w:w="704" w:type="dxa"/>
            <w:shd w:val="clear" w:color="auto" w:fill="auto"/>
          </w:tcPr>
          <w:p w14:paraId="39A9C9F8" w14:textId="77777777" w:rsidR="00BF0C9B" w:rsidRPr="00D4748E" w:rsidRDefault="00BF0C9B" w:rsidP="003113D9">
            <w:pPr>
              <w:jc w:val="center"/>
              <w:rPr>
                <w:rFonts w:cstheme="minorHAnsi"/>
              </w:rPr>
            </w:pPr>
            <w:r w:rsidRPr="00D4748E">
              <w:rPr>
                <w:rFonts w:cstheme="minorHAnsi"/>
              </w:rPr>
              <w:t>2(b)</w:t>
            </w:r>
          </w:p>
        </w:tc>
        <w:tc>
          <w:tcPr>
            <w:tcW w:w="8312" w:type="dxa"/>
            <w:shd w:val="clear" w:color="auto" w:fill="auto"/>
          </w:tcPr>
          <w:p w14:paraId="41B60FC1" w14:textId="5FA0984F" w:rsidR="00BF0C9B" w:rsidRPr="00D4748E" w:rsidRDefault="00BF0C9B" w:rsidP="003113D9">
            <w:pPr>
              <w:ind w:firstLine="63"/>
              <w:rPr>
                <w:rFonts w:cstheme="minorHAnsi"/>
              </w:rPr>
            </w:pPr>
            <w:r w:rsidRPr="00D4748E">
              <w:rPr>
                <w:rFonts w:cstheme="minorHAnsi"/>
                <w:lang w:eastAsia="en-AU"/>
              </w:rPr>
              <w:t>Basic latent factor model with indicators </w:t>
            </w:r>
            <w:r w:rsidRPr="00D4748E">
              <w:rPr>
                <w:rFonts w:cstheme="minorHAnsi"/>
                <w:b/>
                <w:bCs/>
                <w:bdr w:val="none" w:sz="0" w:space="0" w:color="auto" w:frame="1"/>
                <w:lang w:eastAsia="en-AU"/>
              </w:rPr>
              <w:t>(</w:t>
            </w:r>
            <w:r w:rsidRPr="00D4748E">
              <w:rPr>
                <w:rFonts w:cstheme="minorHAnsi"/>
                <w:b/>
                <w:bCs/>
                <w:i/>
                <w:iCs/>
                <w:bdr w:val="none" w:sz="0" w:space="0" w:color="auto" w:frame="1"/>
                <w:lang w:eastAsia="en-AU"/>
              </w:rPr>
              <w:t>X</w:t>
            </w:r>
            <w:r w:rsidRPr="00D4748E">
              <w:rPr>
                <w:rFonts w:cstheme="minorHAnsi"/>
                <w:b/>
                <w:bCs/>
                <w:bdr w:val="none" w:sz="0" w:space="0" w:color="auto" w:frame="1"/>
                <w:vertAlign w:val="subscript"/>
                <w:lang w:eastAsia="en-AU"/>
              </w:rPr>
              <w:t>1</w:t>
            </w:r>
            <w:r w:rsidRPr="00D4748E">
              <w:rPr>
                <w:rFonts w:cstheme="minorHAnsi"/>
                <w:b/>
                <w:bCs/>
                <w:bdr w:val="none" w:sz="0" w:space="0" w:color="auto" w:frame="1"/>
                <w:lang w:eastAsia="en-AU"/>
              </w:rPr>
              <w:t>,…,</w:t>
            </w:r>
            <w:proofErr w:type="spellStart"/>
            <w:r w:rsidRPr="00D4748E">
              <w:rPr>
                <w:rFonts w:cstheme="minorHAnsi"/>
                <w:b/>
                <w:bCs/>
                <w:i/>
                <w:iCs/>
                <w:bdr w:val="none" w:sz="0" w:space="0" w:color="auto" w:frame="1"/>
                <w:lang w:eastAsia="en-AU"/>
              </w:rPr>
              <w:t>X</w:t>
            </w:r>
            <w:r w:rsidRPr="00D4748E">
              <w:rPr>
                <w:rFonts w:cstheme="minorHAnsi"/>
                <w:b/>
                <w:bCs/>
                <w:i/>
                <w:iCs/>
                <w:bdr w:val="none" w:sz="0" w:space="0" w:color="auto" w:frame="1"/>
                <w:vertAlign w:val="subscript"/>
                <w:lang w:eastAsia="en-AU"/>
              </w:rPr>
              <w:t>d</w:t>
            </w:r>
            <w:proofErr w:type="spellEnd"/>
            <w:r w:rsidRPr="00D4748E">
              <w:rPr>
                <w:rFonts w:cstheme="minorHAnsi"/>
                <w:b/>
                <w:bCs/>
                <w:bdr w:val="none" w:sz="0" w:space="0" w:color="auto" w:frame="1"/>
                <w:lang w:eastAsia="en-AU"/>
              </w:rPr>
              <w:t xml:space="preserve">) </w:t>
            </w:r>
            <w:r w:rsidRPr="00D4748E">
              <w:rPr>
                <w:rFonts w:cstheme="minorHAnsi"/>
                <w:lang w:eastAsia="en-AU"/>
              </w:rPr>
              <w:t>causally efficacious for outcome </w:t>
            </w:r>
            <w:r w:rsidRPr="00D4748E">
              <w:rPr>
                <w:rFonts w:cstheme="minorHAnsi"/>
                <w:b/>
                <w:bCs/>
                <w:i/>
                <w:iCs/>
                <w:lang w:eastAsia="en-AU"/>
              </w:rPr>
              <w:t>Y</w:t>
            </w:r>
          </w:p>
        </w:tc>
      </w:tr>
      <w:tr w:rsidR="00BF0C9B" w:rsidRPr="00D4748E" w14:paraId="555283CB" w14:textId="77777777" w:rsidTr="00F13693">
        <w:tc>
          <w:tcPr>
            <w:tcW w:w="704" w:type="dxa"/>
            <w:shd w:val="clear" w:color="auto" w:fill="auto"/>
          </w:tcPr>
          <w:p w14:paraId="5CDA8EBF" w14:textId="77777777" w:rsidR="00BF0C9B" w:rsidRPr="00D4748E" w:rsidRDefault="00BF0C9B" w:rsidP="003113D9">
            <w:pPr>
              <w:jc w:val="center"/>
              <w:rPr>
                <w:rFonts w:cstheme="minorHAnsi"/>
              </w:rPr>
            </w:pPr>
            <w:r w:rsidRPr="00D4748E">
              <w:rPr>
                <w:rFonts w:cstheme="minorHAnsi"/>
              </w:rPr>
              <w:t>3(a)</w:t>
            </w:r>
          </w:p>
        </w:tc>
        <w:tc>
          <w:tcPr>
            <w:tcW w:w="8312" w:type="dxa"/>
            <w:shd w:val="clear" w:color="auto" w:fill="auto"/>
          </w:tcPr>
          <w:p w14:paraId="47A30DBA" w14:textId="77777777" w:rsidR="00BF0C9B" w:rsidRPr="00D4748E" w:rsidRDefault="00BF0C9B" w:rsidP="003113D9">
            <w:pPr>
              <w:ind w:firstLine="63"/>
              <w:rPr>
                <w:rFonts w:cstheme="minorHAnsi"/>
              </w:rPr>
            </w:pPr>
            <w:r w:rsidRPr="00D4748E">
              <w:rPr>
                <w:rFonts w:cstheme="minorHAnsi"/>
                <w:color w:val="333333"/>
                <w:shd w:val="clear" w:color="auto" w:fill="FFFCF0"/>
              </w:rPr>
              <w:t>Structural latent factor model with latent </w:t>
            </w:r>
            <w:r w:rsidRPr="00D4748E">
              <w:rPr>
                <w:rStyle w:val="Emphasis"/>
                <w:rFonts w:cstheme="minorHAnsi"/>
                <w:b/>
                <w:bCs/>
                <w:color w:val="333333"/>
                <w:shd w:val="clear" w:color="auto" w:fill="FFFCF0"/>
              </w:rPr>
              <w:t>η</w:t>
            </w:r>
            <w:r w:rsidRPr="00D4748E">
              <w:rPr>
                <w:rFonts w:cstheme="minorHAnsi"/>
                <w:color w:val="333333"/>
                <w:shd w:val="clear" w:color="auto" w:fill="FFFCF0"/>
              </w:rPr>
              <w:t> causally affected by treatment </w:t>
            </w:r>
            <w:r w:rsidRPr="00D4748E">
              <w:rPr>
                <w:rStyle w:val="Emphasis"/>
                <w:rFonts w:cstheme="minorHAnsi"/>
                <w:b/>
                <w:bCs/>
                <w:color w:val="333333"/>
                <w:shd w:val="clear" w:color="auto" w:fill="FFFCF0"/>
              </w:rPr>
              <w:t>T</w:t>
            </w:r>
          </w:p>
        </w:tc>
      </w:tr>
      <w:tr w:rsidR="00BF0C9B" w:rsidRPr="00D4748E" w14:paraId="1FDF2EB2" w14:textId="77777777" w:rsidTr="00F13693">
        <w:tc>
          <w:tcPr>
            <w:tcW w:w="704" w:type="dxa"/>
            <w:shd w:val="clear" w:color="auto" w:fill="auto"/>
          </w:tcPr>
          <w:p w14:paraId="5996D9D0" w14:textId="77777777" w:rsidR="00BF0C9B" w:rsidRPr="00D4748E" w:rsidRDefault="00BF0C9B" w:rsidP="003113D9">
            <w:pPr>
              <w:jc w:val="center"/>
              <w:rPr>
                <w:rFonts w:cstheme="minorHAnsi"/>
              </w:rPr>
            </w:pPr>
            <w:r w:rsidRPr="00D4748E">
              <w:rPr>
                <w:rFonts w:cstheme="minorHAnsi"/>
              </w:rPr>
              <w:t>3(b)</w:t>
            </w:r>
          </w:p>
        </w:tc>
        <w:tc>
          <w:tcPr>
            <w:tcW w:w="8312" w:type="dxa"/>
            <w:shd w:val="clear" w:color="auto" w:fill="auto"/>
          </w:tcPr>
          <w:p w14:paraId="0B2EDCF4" w14:textId="28E6081E" w:rsidR="00BF0C9B" w:rsidRPr="00D4748E" w:rsidRDefault="00BF0C9B" w:rsidP="003113D9">
            <w:pPr>
              <w:ind w:left="64"/>
              <w:rPr>
                <w:rFonts w:cstheme="minorHAnsi"/>
              </w:rPr>
            </w:pPr>
            <w:r w:rsidRPr="00D4748E">
              <w:rPr>
                <w:rFonts w:cstheme="minorHAnsi"/>
                <w:color w:val="333333"/>
                <w:shd w:val="clear" w:color="auto" w:fill="FFFCF0"/>
              </w:rPr>
              <w:t>Basic latent factor model with indicators </w:t>
            </w:r>
            <w:r w:rsidRPr="00D4748E">
              <w:rPr>
                <w:rFonts w:cstheme="minorHAnsi"/>
                <w:b/>
                <w:bCs/>
                <w:bdr w:val="none" w:sz="0" w:space="0" w:color="auto" w:frame="1"/>
                <w:lang w:eastAsia="en-AU"/>
              </w:rPr>
              <w:t>(</w:t>
            </w:r>
            <w:r w:rsidRPr="00D4748E">
              <w:rPr>
                <w:rFonts w:cstheme="minorHAnsi"/>
                <w:b/>
                <w:bCs/>
                <w:i/>
                <w:iCs/>
                <w:bdr w:val="none" w:sz="0" w:space="0" w:color="auto" w:frame="1"/>
                <w:lang w:eastAsia="en-AU"/>
              </w:rPr>
              <w:t>X</w:t>
            </w:r>
            <w:r w:rsidRPr="00D4748E">
              <w:rPr>
                <w:rFonts w:cstheme="minorHAnsi"/>
                <w:b/>
                <w:bCs/>
                <w:bdr w:val="none" w:sz="0" w:space="0" w:color="auto" w:frame="1"/>
                <w:vertAlign w:val="subscript"/>
                <w:lang w:eastAsia="en-AU"/>
              </w:rPr>
              <w:t>1</w:t>
            </w:r>
            <w:r w:rsidRPr="00D4748E">
              <w:rPr>
                <w:rFonts w:cstheme="minorHAnsi"/>
                <w:b/>
                <w:bCs/>
                <w:bdr w:val="none" w:sz="0" w:space="0" w:color="auto" w:frame="1"/>
                <w:lang w:eastAsia="en-AU"/>
              </w:rPr>
              <w:t>,…,</w:t>
            </w:r>
            <w:proofErr w:type="spellStart"/>
            <w:r w:rsidRPr="00D4748E">
              <w:rPr>
                <w:rFonts w:cstheme="minorHAnsi"/>
                <w:b/>
                <w:bCs/>
                <w:i/>
                <w:iCs/>
                <w:bdr w:val="none" w:sz="0" w:space="0" w:color="auto" w:frame="1"/>
                <w:lang w:eastAsia="en-AU"/>
              </w:rPr>
              <w:t>X</w:t>
            </w:r>
            <w:r w:rsidRPr="00D4748E">
              <w:rPr>
                <w:rFonts w:cstheme="minorHAnsi"/>
                <w:b/>
                <w:bCs/>
                <w:i/>
                <w:iCs/>
                <w:bdr w:val="none" w:sz="0" w:space="0" w:color="auto" w:frame="1"/>
                <w:vertAlign w:val="subscript"/>
                <w:lang w:eastAsia="en-AU"/>
              </w:rPr>
              <w:t>d</w:t>
            </w:r>
            <w:proofErr w:type="spellEnd"/>
            <w:r w:rsidRPr="00D4748E">
              <w:rPr>
                <w:rFonts w:cstheme="minorHAnsi"/>
                <w:b/>
                <w:bCs/>
                <w:bdr w:val="none" w:sz="0" w:space="0" w:color="auto" w:frame="1"/>
                <w:lang w:eastAsia="en-AU"/>
              </w:rPr>
              <w:t>)</w:t>
            </w:r>
            <w:r w:rsidRPr="00D4748E">
              <w:rPr>
                <w:rStyle w:val="mo"/>
                <w:rFonts w:cstheme="minorHAnsi"/>
                <w:b/>
                <w:bCs/>
                <w:color w:val="333333"/>
                <w:bdr w:val="none" w:sz="0" w:space="0" w:color="auto" w:frame="1"/>
                <w:shd w:val="clear" w:color="auto" w:fill="FFFCF0"/>
              </w:rPr>
              <w:t xml:space="preserve"> </w:t>
            </w:r>
            <w:r w:rsidRPr="00D4748E">
              <w:rPr>
                <w:rFonts w:cstheme="minorHAnsi"/>
                <w:color w:val="333333"/>
                <w:shd w:val="clear" w:color="auto" w:fill="FFFCF0"/>
              </w:rPr>
              <w:t xml:space="preserve">directly causally affected by  </w:t>
            </w:r>
            <w:r w:rsidRPr="00D4748E">
              <w:rPr>
                <w:rFonts w:cstheme="minorHAnsi"/>
              </w:rPr>
              <w:t xml:space="preserve"> </w:t>
            </w:r>
            <w:r w:rsidRPr="00D4748E">
              <w:rPr>
                <w:rFonts w:cstheme="minorHAnsi"/>
                <w:color w:val="333333"/>
                <w:shd w:val="clear" w:color="auto" w:fill="FFFCF0"/>
              </w:rPr>
              <w:t>treatment </w:t>
            </w:r>
            <w:r w:rsidRPr="00D4748E">
              <w:rPr>
                <w:rStyle w:val="Emphasis"/>
                <w:rFonts w:cstheme="minorHAnsi"/>
                <w:b/>
                <w:bCs/>
                <w:color w:val="333333"/>
                <w:shd w:val="clear" w:color="auto" w:fill="FFFCF0"/>
              </w:rPr>
              <w:t>T</w:t>
            </w:r>
          </w:p>
        </w:tc>
      </w:tr>
      <w:tr w:rsidR="00BF0C9B" w:rsidRPr="00D4748E" w14:paraId="2530A856" w14:textId="77777777" w:rsidTr="00F13693">
        <w:tc>
          <w:tcPr>
            <w:tcW w:w="704" w:type="dxa"/>
            <w:shd w:val="clear" w:color="auto" w:fill="auto"/>
          </w:tcPr>
          <w:p w14:paraId="500F2307" w14:textId="77777777" w:rsidR="00BF0C9B" w:rsidRPr="00D4748E" w:rsidRDefault="00BF0C9B" w:rsidP="003113D9">
            <w:pPr>
              <w:jc w:val="center"/>
              <w:rPr>
                <w:rFonts w:cstheme="minorHAnsi"/>
              </w:rPr>
            </w:pPr>
            <w:r w:rsidRPr="00D4748E">
              <w:rPr>
                <w:rFonts w:cstheme="minorHAnsi"/>
              </w:rPr>
              <w:t>4</w:t>
            </w:r>
          </w:p>
        </w:tc>
        <w:tc>
          <w:tcPr>
            <w:tcW w:w="8312" w:type="dxa"/>
            <w:shd w:val="clear" w:color="auto" w:fill="auto"/>
          </w:tcPr>
          <w:p w14:paraId="6FBF9E81" w14:textId="7FA08F29" w:rsidR="00BF0C9B" w:rsidRPr="00D4748E" w:rsidRDefault="00BF0C9B" w:rsidP="003113D9">
            <w:pPr>
              <w:shd w:val="clear" w:color="auto" w:fill="FFFFFF"/>
              <w:ind w:left="64" w:hanging="1"/>
              <w:rPr>
                <w:rFonts w:cstheme="minorHAnsi"/>
                <w:i/>
                <w:iCs/>
                <w:color w:val="333333"/>
                <w:shd w:val="clear" w:color="auto" w:fill="FFFCF0"/>
              </w:rPr>
            </w:pPr>
            <w:r w:rsidRPr="00D4748E">
              <w:rPr>
                <w:rFonts w:cstheme="minorHAnsi"/>
                <w:color w:val="333333"/>
                <w:shd w:val="clear" w:color="auto" w:fill="FFFCF0"/>
              </w:rPr>
              <w:t>Causal effect of latent </w:t>
            </w:r>
            <w:r w:rsidRPr="00D4748E">
              <w:rPr>
                <w:rStyle w:val="Emphasis"/>
                <w:rFonts w:cstheme="minorHAnsi"/>
                <w:b/>
                <w:bCs/>
                <w:color w:val="333333"/>
                <w:shd w:val="clear" w:color="auto" w:fill="FFFCF0"/>
              </w:rPr>
              <w:t>η</w:t>
            </w:r>
            <w:r w:rsidRPr="00D4748E">
              <w:rPr>
                <w:rFonts w:cstheme="minorHAnsi"/>
                <w:color w:val="333333"/>
                <w:shd w:val="clear" w:color="auto" w:fill="FFFCF0"/>
              </w:rPr>
              <w:t> on outcome </w:t>
            </w:r>
            <w:r w:rsidRPr="00D4748E">
              <w:rPr>
                <w:rStyle w:val="Emphasis"/>
                <w:rFonts w:cstheme="minorHAnsi"/>
                <w:b/>
                <w:bCs/>
                <w:color w:val="333333"/>
                <w:shd w:val="clear" w:color="auto" w:fill="FFFCF0"/>
              </w:rPr>
              <w:t>Y</w:t>
            </w:r>
            <w:r w:rsidRPr="00D4748E">
              <w:rPr>
                <w:rFonts w:cstheme="minorHAnsi"/>
                <w:color w:val="333333"/>
                <w:shd w:val="clear" w:color="auto" w:fill="FFFCF0"/>
              </w:rPr>
              <w:t> confounded by covariates </w:t>
            </w:r>
            <w:r w:rsidRPr="00D4748E">
              <w:rPr>
                <w:rStyle w:val="Emphasis"/>
                <w:rFonts w:cstheme="minorHAnsi"/>
                <w:b/>
                <w:bCs/>
                <w:color w:val="333333"/>
                <w:shd w:val="clear" w:color="auto" w:fill="FFFCF0"/>
              </w:rPr>
              <w:t>C</w:t>
            </w:r>
            <w:r w:rsidRPr="00D4748E">
              <w:rPr>
                <w:rFonts w:cstheme="minorHAnsi"/>
                <w:color w:val="333333"/>
                <w:shd w:val="clear" w:color="auto" w:fill="FFFCF0"/>
              </w:rPr>
              <w:t>, but the structural interpretation still requiring indicators </w:t>
            </w:r>
            <w:r w:rsidRPr="00D4748E">
              <w:rPr>
                <w:rFonts w:cstheme="minorHAnsi"/>
                <w:b/>
                <w:bCs/>
                <w:bdr w:val="none" w:sz="0" w:space="0" w:color="auto" w:frame="1"/>
                <w:lang w:eastAsia="en-AU"/>
              </w:rPr>
              <w:t>(</w:t>
            </w:r>
            <w:r w:rsidRPr="00D4748E">
              <w:rPr>
                <w:rFonts w:cstheme="minorHAnsi"/>
                <w:b/>
                <w:bCs/>
                <w:i/>
                <w:iCs/>
                <w:bdr w:val="none" w:sz="0" w:space="0" w:color="auto" w:frame="1"/>
                <w:lang w:eastAsia="en-AU"/>
              </w:rPr>
              <w:t>X</w:t>
            </w:r>
            <w:r w:rsidRPr="00D4748E">
              <w:rPr>
                <w:rFonts w:cstheme="minorHAnsi"/>
                <w:b/>
                <w:bCs/>
                <w:bdr w:val="none" w:sz="0" w:space="0" w:color="auto" w:frame="1"/>
                <w:vertAlign w:val="subscript"/>
                <w:lang w:eastAsia="en-AU"/>
              </w:rPr>
              <w:t>1</w:t>
            </w:r>
            <w:r w:rsidRPr="00D4748E">
              <w:rPr>
                <w:rFonts w:cstheme="minorHAnsi"/>
                <w:b/>
                <w:bCs/>
                <w:bdr w:val="none" w:sz="0" w:space="0" w:color="auto" w:frame="1"/>
                <w:lang w:eastAsia="en-AU"/>
              </w:rPr>
              <w:t>,…,</w:t>
            </w:r>
            <w:proofErr w:type="spellStart"/>
            <w:r w:rsidRPr="00D4748E">
              <w:rPr>
                <w:rFonts w:cstheme="minorHAnsi"/>
                <w:b/>
                <w:bCs/>
                <w:i/>
                <w:iCs/>
                <w:bdr w:val="none" w:sz="0" w:space="0" w:color="auto" w:frame="1"/>
                <w:lang w:eastAsia="en-AU"/>
              </w:rPr>
              <w:t>X</w:t>
            </w:r>
            <w:r w:rsidRPr="00D4748E">
              <w:rPr>
                <w:rFonts w:cstheme="minorHAnsi"/>
                <w:b/>
                <w:bCs/>
                <w:i/>
                <w:iCs/>
                <w:bdr w:val="none" w:sz="0" w:space="0" w:color="auto" w:frame="1"/>
                <w:vertAlign w:val="subscript"/>
                <w:lang w:eastAsia="en-AU"/>
              </w:rPr>
              <w:t>d</w:t>
            </w:r>
            <w:proofErr w:type="spellEnd"/>
            <w:r w:rsidRPr="00D4748E">
              <w:rPr>
                <w:rFonts w:cstheme="minorHAnsi"/>
                <w:b/>
                <w:bCs/>
                <w:bdr w:val="none" w:sz="0" w:space="0" w:color="auto" w:frame="1"/>
                <w:lang w:eastAsia="en-AU"/>
              </w:rPr>
              <w:t>)</w:t>
            </w:r>
            <w:r w:rsidRPr="00D4748E">
              <w:rPr>
                <w:rStyle w:val="mo"/>
                <w:rFonts w:cstheme="minorHAnsi"/>
                <w:b/>
                <w:bCs/>
                <w:color w:val="333333"/>
                <w:bdr w:val="none" w:sz="0" w:space="0" w:color="auto" w:frame="1"/>
                <w:shd w:val="clear" w:color="auto" w:fill="FFFCF0"/>
              </w:rPr>
              <w:t xml:space="preserve"> </w:t>
            </w:r>
            <w:r w:rsidRPr="00D4748E">
              <w:rPr>
                <w:rFonts w:cstheme="minorHAnsi"/>
                <w:color w:val="333333"/>
                <w:shd w:val="clear" w:color="auto" w:fill="FFFCF0"/>
              </w:rPr>
              <w:t>independent of </w:t>
            </w:r>
            <w:r w:rsidRPr="00D4748E">
              <w:rPr>
                <w:rStyle w:val="Emphasis"/>
                <w:rFonts w:cstheme="minorHAnsi"/>
                <w:b/>
                <w:bCs/>
                <w:color w:val="333333"/>
                <w:shd w:val="clear" w:color="auto" w:fill="FFFCF0"/>
              </w:rPr>
              <w:t>Y</w:t>
            </w:r>
            <w:r w:rsidRPr="00D4748E">
              <w:rPr>
                <w:rFonts w:cstheme="minorHAnsi"/>
                <w:color w:val="333333"/>
                <w:shd w:val="clear" w:color="auto" w:fill="FFFCF0"/>
              </w:rPr>
              <w:t> conditional on </w:t>
            </w:r>
            <w:r w:rsidRPr="00D4748E">
              <w:rPr>
                <w:rStyle w:val="Emphasis"/>
                <w:rFonts w:cstheme="minorHAnsi"/>
                <w:b/>
                <w:bCs/>
                <w:color w:val="333333"/>
                <w:shd w:val="clear" w:color="auto" w:fill="FFFCF0"/>
              </w:rPr>
              <w:t>η</w:t>
            </w:r>
          </w:p>
        </w:tc>
      </w:tr>
      <w:tr w:rsidR="00BF0C9B" w:rsidRPr="00D4748E" w14:paraId="53094221" w14:textId="77777777" w:rsidTr="00F13693">
        <w:tc>
          <w:tcPr>
            <w:tcW w:w="704" w:type="dxa"/>
            <w:shd w:val="clear" w:color="auto" w:fill="auto"/>
          </w:tcPr>
          <w:p w14:paraId="56B6AD41" w14:textId="77777777" w:rsidR="00BF0C9B" w:rsidRPr="00D4748E" w:rsidRDefault="00BF0C9B" w:rsidP="003113D9">
            <w:pPr>
              <w:jc w:val="center"/>
              <w:rPr>
                <w:rFonts w:cstheme="minorHAnsi"/>
              </w:rPr>
            </w:pPr>
            <w:r w:rsidRPr="00D4748E">
              <w:rPr>
                <w:rFonts w:cstheme="minorHAnsi"/>
              </w:rPr>
              <w:lastRenderedPageBreak/>
              <w:t>5</w:t>
            </w:r>
          </w:p>
        </w:tc>
        <w:tc>
          <w:tcPr>
            <w:tcW w:w="8312" w:type="dxa"/>
            <w:shd w:val="clear" w:color="auto" w:fill="auto"/>
          </w:tcPr>
          <w:p w14:paraId="3921716D" w14:textId="670A6927" w:rsidR="00BF0C9B" w:rsidRPr="00D4748E" w:rsidRDefault="00BF0C9B" w:rsidP="003113D9">
            <w:pPr>
              <w:shd w:val="clear" w:color="auto" w:fill="FFFFFF"/>
              <w:ind w:left="64"/>
              <w:rPr>
                <w:rFonts w:cstheme="minorHAnsi"/>
                <w:i/>
                <w:iCs/>
                <w:color w:val="333333"/>
                <w:shd w:val="clear" w:color="auto" w:fill="FFFCF0"/>
              </w:rPr>
            </w:pPr>
            <w:r w:rsidRPr="00D4748E">
              <w:rPr>
                <w:rFonts w:cstheme="minorHAnsi"/>
                <w:color w:val="333333"/>
                <w:shd w:val="clear" w:color="auto" w:fill="FFFCF0"/>
              </w:rPr>
              <w:t>Structural latent factor model with </w:t>
            </w:r>
            <w:r w:rsidRPr="00D4748E">
              <w:rPr>
                <w:rStyle w:val="Emphasis"/>
                <w:rFonts w:cstheme="minorHAnsi"/>
                <w:color w:val="333333"/>
                <w:shd w:val="clear" w:color="auto" w:fill="FFFCF0"/>
              </w:rPr>
              <w:t>Z</w:t>
            </w:r>
            <w:r w:rsidRPr="00D4748E">
              <w:rPr>
                <w:rFonts w:cstheme="minorHAnsi"/>
                <w:color w:val="333333"/>
                <w:shd w:val="clear" w:color="auto" w:fill="FFFCF0"/>
              </w:rPr>
              <w:t> neither affecting, nor affected, by latent </w:t>
            </w:r>
            <w:r w:rsidRPr="00D4748E">
              <w:rPr>
                <w:rStyle w:val="Emphasis"/>
                <w:rFonts w:cstheme="minorHAnsi"/>
                <w:b/>
                <w:bCs/>
                <w:color w:val="333333"/>
                <w:shd w:val="clear" w:color="auto" w:fill="FFFCF0"/>
              </w:rPr>
              <w:t>η</w:t>
            </w:r>
            <w:r w:rsidRPr="00D4748E">
              <w:rPr>
                <w:rFonts w:cstheme="minorHAnsi"/>
                <w:color w:val="333333"/>
                <w:shd w:val="clear" w:color="auto" w:fill="FFFCF0"/>
              </w:rPr>
              <w:t>, but the structural interpretation still requiring indicators</w:t>
            </w:r>
            <w:r w:rsidRPr="00D4748E">
              <w:rPr>
                <w:rFonts w:cstheme="minorHAnsi"/>
                <w:b/>
                <w:bCs/>
                <w:bdr w:val="none" w:sz="0" w:space="0" w:color="auto" w:frame="1"/>
                <w:lang w:eastAsia="en-AU"/>
              </w:rPr>
              <w:t>(</w:t>
            </w:r>
            <w:r w:rsidRPr="00D4748E">
              <w:rPr>
                <w:rFonts w:cstheme="minorHAnsi"/>
                <w:b/>
                <w:bCs/>
                <w:i/>
                <w:iCs/>
                <w:bdr w:val="none" w:sz="0" w:space="0" w:color="auto" w:frame="1"/>
                <w:lang w:eastAsia="en-AU"/>
              </w:rPr>
              <w:t>X</w:t>
            </w:r>
            <w:r w:rsidRPr="00D4748E">
              <w:rPr>
                <w:rFonts w:cstheme="minorHAnsi"/>
                <w:b/>
                <w:bCs/>
                <w:bdr w:val="none" w:sz="0" w:space="0" w:color="auto" w:frame="1"/>
                <w:vertAlign w:val="subscript"/>
                <w:lang w:eastAsia="en-AU"/>
              </w:rPr>
              <w:t>1</w:t>
            </w:r>
            <w:r w:rsidRPr="00D4748E">
              <w:rPr>
                <w:rFonts w:cstheme="minorHAnsi"/>
                <w:b/>
                <w:bCs/>
                <w:bdr w:val="none" w:sz="0" w:space="0" w:color="auto" w:frame="1"/>
                <w:lang w:eastAsia="en-AU"/>
              </w:rPr>
              <w:t>,…,</w:t>
            </w:r>
            <w:proofErr w:type="spellStart"/>
            <w:r w:rsidRPr="00D4748E">
              <w:rPr>
                <w:rFonts w:cstheme="minorHAnsi"/>
                <w:b/>
                <w:bCs/>
                <w:i/>
                <w:iCs/>
                <w:bdr w:val="none" w:sz="0" w:space="0" w:color="auto" w:frame="1"/>
                <w:lang w:eastAsia="en-AU"/>
              </w:rPr>
              <w:t>X</w:t>
            </w:r>
            <w:r w:rsidRPr="00D4748E">
              <w:rPr>
                <w:rFonts w:cstheme="minorHAnsi"/>
                <w:b/>
                <w:bCs/>
                <w:i/>
                <w:iCs/>
                <w:bdr w:val="none" w:sz="0" w:space="0" w:color="auto" w:frame="1"/>
                <w:vertAlign w:val="subscript"/>
                <w:lang w:eastAsia="en-AU"/>
              </w:rPr>
              <w:t>d</w:t>
            </w:r>
            <w:proofErr w:type="spellEnd"/>
            <w:r w:rsidRPr="00D4748E">
              <w:rPr>
                <w:rFonts w:cstheme="minorHAnsi"/>
                <w:b/>
                <w:bCs/>
                <w:bdr w:val="none" w:sz="0" w:space="0" w:color="auto" w:frame="1"/>
                <w:lang w:eastAsia="en-AU"/>
              </w:rPr>
              <w:t>)</w:t>
            </w:r>
            <w:r w:rsidRPr="00D4748E">
              <w:rPr>
                <w:rFonts w:cstheme="minorHAnsi"/>
                <w:color w:val="333333"/>
                <w:shd w:val="clear" w:color="auto" w:fill="FFFCF0"/>
              </w:rPr>
              <w:t> independent of </w:t>
            </w:r>
            <w:r w:rsidRPr="00D4748E">
              <w:rPr>
                <w:rStyle w:val="Emphasis"/>
                <w:rFonts w:cstheme="minorHAnsi"/>
                <w:b/>
                <w:bCs/>
                <w:color w:val="333333"/>
                <w:shd w:val="clear" w:color="auto" w:fill="FFFCF0"/>
              </w:rPr>
              <w:t>Z</w:t>
            </w:r>
            <w:r w:rsidRPr="00D4748E">
              <w:rPr>
                <w:rFonts w:cstheme="minorHAnsi"/>
                <w:color w:val="333333"/>
                <w:shd w:val="clear" w:color="auto" w:fill="FFFCF0"/>
              </w:rPr>
              <w:t> conditional on </w:t>
            </w:r>
            <w:r w:rsidRPr="00D4748E">
              <w:rPr>
                <w:rStyle w:val="Emphasis"/>
                <w:rFonts w:cstheme="minorHAnsi"/>
                <w:b/>
                <w:bCs/>
                <w:color w:val="333333"/>
                <w:shd w:val="clear" w:color="auto" w:fill="FFFCF0"/>
              </w:rPr>
              <w:t xml:space="preserve">η </w:t>
            </w:r>
          </w:p>
        </w:tc>
      </w:tr>
      <w:tr w:rsidR="00BF0C9B" w:rsidRPr="00D4748E" w14:paraId="378AB933" w14:textId="77777777" w:rsidTr="00F13693">
        <w:tc>
          <w:tcPr>
            <w:tcW w:w="704" w:type="dxa"/>
            <w:shd w:val="clear" w:color="auto" w:fill="auto"/>
          </w:tcPr>
          <w:p w14:paraId="253ADC88" w14:textId="77777777" w:rsidR="00BF0C9B" w:rsidRPr="00D4748E" w:rsidRDefault="00BF0C9B" w:rsidP="003113D9">
            <w:pPr>
              <w:jc w:val="center"/>
              <w:rPr>
                <w:rFonts w:cstheme="minorHAnsi"/>
              </w:rPr>
            </w:pPr>
            <w:r w:rsidRPr="00D4748E">
              <w:rPr>
                <w:rFonts w:cstheme="minorHAnsi"/>
              </w:rPr>
              <w:t>6(a)</w:t>
            </w:r>
          </w:p>
        </w:tc>
        <w:tc>
          <w:tcPr>
            <w:tcW w:w="8312" w:type="dxa"/>
            <w:shd w:val="clear" w:color="auto" w:fill="auto"/>
          </w:tcPr>
          <w:p w14:paraId="5E2B2080" w14:textId="77777777" w:rsidR="00BF0C9B" w:rsidRPr="00D4748E" w:rsidRDefault="00BF0C9B" w:rsidP="003113D9">
            <w:pPr>
              <w:ind w:firstLine="63"/>
              <w:rPr>
                <w:rFonts w:cstheme="minorHAnsi"/>
              </w:rPr>
            </w:pPr>
            <w:r w:rsidRPr="00D4748E">
              <w:rPr>
                <w:rFonts w:cstheme="minorHAnsi"/>
                <w:color w:val="333333"/>
                <w:shd w:val="clear" w:color="auto" w:fill="FFFCF0"/>
              </w:rPr>
              <w:t>Basic latent factor model for </w:t>
            </w:r>
            <w:r w:rsidRPr="00D4748E">
              <w:rPr>
                <w:rStyle w:val="Emphasis"/>
                <w:rFonts w:cstheme="minorHAnsi"/>
                <w:b/>
                <w:bCs/>
                <w:color w:val="333333"/>
                <w:shd w:val="clear" w:color="auto" w:fill="FFFCF0"/>
              </w:rPr>
              <w:t>η</w:t>
            </w:r>
            <w:r w:rsidRPr="00D4748E">
              <w:rPr>
                <w:rFonts w:cstheme="minorHAnsi"/>
                <w:color w:val="333333"/>
                <w:shd w:val="clear" w:color="auto" w:fill="FFFCF0"/>
              </w:rPr>
              <w:t> with only one single indicator </w:t>
            </w:r>
            <w:r w:rsidRPr="00D4748E">
              <w:rPr>
                <w:rStyle w:val="Emphasis"/>
                <w:rFonts w:cstheme="minorHAnsi"/>
                <w:b/>
                <w:bCs/>
                <w:color w:val="333333"/>
                <w:shd w:val="clear" w:color="auto" w:fill="FFFCF0"/>
              </w:rPr>
              <w:t>X</w:t>
            </w:r>
            <w:r w:rsidRPr="00D4748E">
              <w:rPr>
                <w:rStyle w:val="Emphasis"/>
                <w:rFonts w:cstheme="minorHAnsi"/>
                <w:b/>
                <w:bCs/>
                <w:color w:val="333333"/>
                <w:shd w:val="clear" w:color="auto" w:fill="FFFCF0"/>
                <w:vertAlign w:val="subscript"/>
              </w:rPr>
              <w:t>1</w:t>
            </w:r>
            <w:r w:rsidRPr="00D4748E">
              <w:rPr>
                <w:rStyle w:val="Emphasis"/>
                <w:rFonts w:cstheme="minorHAnsi"/>
                <w:color w:val="333333"/>
                <w:shd w:val="clear" w:color="auto" w:fill="FFFCF0"/>
              </w:rPr>
              <w:t>;</w:t>
            </w:r>
            <w:r w:rsidRPr="00D4748E">
              <w:rPr>
                <w:rFonts w:cstheme="minorHAnsi"/>
                <w:color w:val="333333"/>
                <w:shd w:val="clear" w:color="auto" w:fill="FFFCF0"/>
              </w:rPr>
              <w:t xml:space="preserve"> or</w:t>
            </w:r>
          </w:p>
        </w:tc>
      </w:tr>
      <w:tr w:rsidR="00BF0C9B" w:rsidRPr="00D4748E" w14:paraId="792DFAEB" w14:textId="77777777" w:rsidTr="00F13693">
        <w:tc>
          <w:tcPr>
            <w:tcW w:w="704" w:type="dxa"/>
            <w:shd w:val="clear" w:color="auto" w:fill="auto"/>
          </w:tcPr>
          <w:p w14:paraId="5FEFA62D" w14:textId="77777777" w:rsidR="00BF0C9B" w:rsidRPr="00D4748E" w:rsidRDefault="00BF0C9B" w:rsidP="003113D9">
            <w:pPr>
              <w:jc w:val="center"/>
              <w:rPr>
                <w:rFonts w:cstheme="minorHAnsi"/>
              </w:rPr>
            </w:pPr>
            <w:r w:rsidRPr="00D4748E">
              <w:rPr>
                <w:rFonts w:cstheme="minorHAnsi"/>
              </w:rPr>
              <w:t>6(b)</w:t>
            </w:r>
          </w:p>
        </w:tc>
        <w:tc>
          <w:tcPr>
            <w:tcW w:w="8312" w:type="dxa"/>
            <w:shd w:val="clear" w:color="auto" w:fill="auto"/>
          </w:tcPr>
          <w:p w14:paraId="07C70596" w14:textId="77777777" w:rsidR="00BF0C9B" w:rsidRPr="00D4748E" w:rsidRDefault="00BF0C9B" w:rsidP="003113D9">
            <w:pPr>
              <w:ind w:firstLine="63"/>
              <w:rPr>
                <w:rFonts w:cstheme="minorHAnsi"/>
              </w:rPr>
            </w:pPr>
            <w:r w:rsidRPr="00D4748E">
              <w:rPr>
                <w:rFonts w:cstheme="minorHAnsi"/>
                <w:color w:val="333333"/>
                <w:shd w:val="clear" w:color="auto" w:fill="FFFCF0"/>
              </w:rPr>
              <w:t>One single subsequent latent </w:t>
            </w:r>
            <w:r w:rsidRPr="00D4748E">
              <w:rPr>
                <w:rStyle w:val="Emphasis"/>
                <w:rFonts w:cstheme="minorHAnsi"/>
                <w:b/>
                <w:bCs/>
                <w:color w:val="333333"/>
                <w:shd w:val="clear" w:color="auto" w:fill="FFFCF0"/>
              </w:rPr>
              <w:t>η</w:t>
            </w:r>
            <w:r w:rsidRPr="00D4748E">
              <w:rPr>
                <w:rStyle w:val="Emphasis"/>
                <w:rFonts w:cstheme="minorHAnsi"/>
                <w:b/>
                <w:bCs/>
                <w:color w:val="333333"/>
                <w:shd w:val="clear" w:color="auto" w:fill="FFFCF0"/>
                <w:vertAlign w:val="subscript"/>
              </w:rPr>
              <w:t>1</w:t>
            </w:r>
            <w:r w:rsidRPr="00D4748E">
              <w:rPr>
                <w:rFonts w:cstheme="minorHAnsi"/>
                <w:color w:val="333333"/>
                <w:shd w:val="clear" w:color="auto" w:fill="FFFCF0"/>
                <w:vertAlign w:val="subscript"/>
              </w:rPr>
              <w:t> </w:t>
            </w:r>
            <w:r w:rsidRPr="00D4748E">
              <w:rPr>
                <w:rFonts w:cstheme="minorHAnsi"/>
                <w:color w:val="333333"/>
                <w:shd w:val="clear" w:color="auto" w:fill="FFFCF0"/>
              </w:rPr>
              <w:t>, causally efficacious for outcome </w:t>
            </w:r>
            <w:r w:rsidRPr="00D4748E">
              <w:rPr>
                <w:rStyle w:val="Emphasis"/>
                <w:rFonts w:cstheme="minorHAnsi"/>
                <w:b/>
                <w:bCs/>
                <w:color w:val="333333"/>
                <w:shd w:val="clear" w:color="auto" w:fill="FFFCF0"/>
              </w:rPr>
              <w:t>Y</w:t>
            </w:r>
          </w:p>
        </w:tc>
      </w:tr>
      <w:tr w:rsidR="00BF0C9B" w:rsidRPr="002469FB" w14:paraId="37940B92" w14:textId="77777777" w:rsidTr="00F13693">
        <w:tc>
          <w:tcPr>
            <w:tcW w:w="704" w:type="dxa"/>
            <w:shd w:val="clear" w:color="auto" w:fill="auto"/>
          </w:tcPr>
          <w:p w14:paraId="740008BF" w14:textId="77777777" w:rsidR="00BF0C9B" w:rsidRPr="00D4748E" w:rsidRDefault="00BF0C9B" w:rsidP="003113D9">
            <w:pPr>
              <w:jc w:val="center"/>
              <w:rPr>
                <w:rFonts w:cstheme="minorHAnsi"/>
              </w:rPr>
            </w:pPr>
            <w:r w:rsidRPr="00D4748E">
              <w:rPr>
                <w:rFonts w:cstheme="minorHAnsi"/>
              </w:rPr>
              <w:t>7</w:t>
            </w:r>
          </w:p>
        </w:tc>
        <w:tc>
          <w:tcPr>
            <w:tcW w:w="8312" w:type="dxa"/>
            <w:shd w:val="clear" w:color="auto" w:fill="auto"/>
          </w:tcPr>
          <w:p w14:paraId="405C7F7F" w14:textId="77777777" w:rsidR="00BF0C9B" w:rsidRPr="00D4748E" w:rsidRDefault="00BF0C9B" w:rsidP="003113D9">
            <w:pPr>
              <w:ind w:left="64" w:hanging="1"/>
              <w:rPr>
                <w:rFonts w:cstheme="minorHAnsi"/>
              </w:rPr>
            </w:pPr>
            <w:r w:rsidRPr="00D4748E">
              <w:rPr>
                <w:rFonts w:cstheme="minorHAnsi"/>
                <w:color w:val="333333"/>
                <w:shd w:val="clear" w:color="auto" w:fill="FFFCF0"/>
              </w:rPr>
              <w:t>Basic latent factor model for </w:t>
            </w:r>
            <w:r w:rsidRPr="00D4748E">
              <w:rPr>
                <w:rStyle w:val="Emphasis"/>
                <w:rFonts w:cstheme="minorHAnsi"/>
                <w:b/>
                <w:bCs/>
                <w:color w:val="333333"/>
                <w:shd w:val="clear" w:color="auto" w:fill="FFFCF0"/>
              </w:rPr>
              <w:t>η</w:t>
            </w:r>
            <w:r w:rsidRPr="00D4748E">
              <w:rPr>
                <w:rFonts w:cstheme="minorHAnsi"/>
                <w:color w:val="333333"/>
                <w:shd w:val="clear" w:color="auto" w:fill="FFFCF0"/>
              </w:rPr>
              <w:t> with treatment </w:t>
            </w:r>
            <w:r w:rsidRPr="00D4748E">
              <w:rPr>
                <w:rStyle w:val="Emphasis"/>
                <w:rFonts w:cstheme="minorHAnsi"/>
                <w:b/>
                <w:bCs/>
                <w:color w:val="333333"/>
                <w:shd w:val="clear" w:color="auto" w:fill="FFFCF0"/>
              </w:rPr>
              <w:t>T</w:t>
            </w:r>
            <w:r w:rsidRPr="00D4748E">
              <w:rPr>
                <w:rFonts w:cstheme="minorHAnsi"/>
                <w:color w:val="333333"/>
                <w:shd w:val="clear" w:color="auto" w:fill="FFFCF0"/>
              </w:rPr>
              <w:t> directly affecting indicators </w:t>
            </w:r>
            <w:r w:rsidRPr="00D4748E">
              <w:rPr>
                <w:rStyle w:val="Emphasis"/>
                <w:rFonts w:cstheme="minorHAnsi"/>
                <w:b/>
                <w:bCs/>
                <w:color w:val="333333"/>
                <w:shd w:val="clear" w:color="auto" w:fill="FFFCF0"/>
              </w:rPr>
              <w:t>X</w:t>
            </w:r>
            <w:r w:rsidRPr="00D4748E">
              <w:rPr>
                <w:rStyle w:val="Emphasis"/>
                <w:rFonts w:cstheme="minorHAnsi"/>
                <w:b/>
                <w:bCs/>
                <w:color w:val="333333"/>
                <w:shd w:val="clear" w:color="auto" w:fill="FFFCF0"/>
                <w:vertAlign w:val="subscript"/>
              </w:rPr>
              <w:t>1</w:t>
            </w:r>
            <w:r w:rsidRPr="00D4748E">
              <w:rPr>
                <w:rFonts w:cstheme="minorHAnsi"/>
                <w:color w:val="333333"/>
                <w:shd w:val="clear" w:color="auto" w:fill="FFFCF0"/>
                <w:vertAlign w:val="subscript"/>
              </w:rPr>
              <w:t> </w:t>
            </w:r>
            <w:r w:rsidRPr="00D4748E">
              <w:rPr>
                <w:rFonts w:cstheme="minorHAnsi"/>
                <w:color w:val="333333"/>
                <w:shd w:val="clear" w:color="auto" w:fill="FFFCF0"/>
              </w:rPr>
              <w:t>and </w:t>
            </w:r>
            <w:r w:rsidRPr="00D4748E">
              <w:rPr>
                <w:rStyle w:val="Emphasis"/>
                <w:rFonts w:cstheme="minorHAnsi"/>
                <w:b/>
                <w:bCs/>
                <w:color w:val="333333"/>
                <w:shd w:val="clear" w:color="auto" w:fill="FFFCF0"/>
              </w:rPr>
              <w:t>X</w:t>
            </w:r>
            <w:r w:rsidRPr="00D4748E">
              <w:rPr>
                <w:rStyle w:val="Emphasis"/>
                <w:rFonts w:cstheme="minorHAnsi"/>
                <w:b/>
                <w:bCs/>
                <w:color w:val="333333"/>
                <w:shd w:val="clear" w:color="auto" w:fill="FFFCF0"/>
                <w:vertAlign w:val="subscript"/>
              </w:rPr>
              <w:t>2</w:t>
            </w:r>
            <w:r w:rsidRPr="00D4748E">
              <w:rPr>
                <w:rFonts w:cstheme="minorHAnsi"/>
                <w:b/>
                <w:bCs/>
                <w:color w:val="333333"/>
                <w:shd w:val="clear" w:color="auto" w:fill="FFFCF0"/>
                <w:vertAlign w:val="subscript"/>
              </w:rPr>
              <w:t> </w:t>
            </w:r>
            <w:r w:rsidRPr="00D4748E">
              <w:rPr>
                <w:rFonts w:cstheme="minorHAnsi"/>
                <w:b/>
                <w:bCs/>
                <w:color w:val="333333"/>
                <w:shd w:val="clear" w:color="auto" w:fill="FFFCF0"/>
              </w:rPr>
              <w:t>,</w:t>
            </w:r>
            <w:r w:rsidRPr="00D4748E">
              <w:rPr>
                <w:rFonts w:cstheme="minorHAnsi"/>
                <w:color w:val="333333"/>
                <w:shd w:val="clear" w:color="auto" w:fill="FFFCF0"/>
              </w:rPr>
              <w:t xml:space="preserve"> and thereby altering the factor structure.</w:t>
            </w:r>
          </w:p>
        </w:tc>
      </w:tr>
    </w:tbl>
    <w:p w14:paraId="28173551" w14:textId="77777777" w:rsidR="00BF0C9B" w:rsidRPr="00BF0C9B" w:rsidRDefault="00BF0C9B" w:rsidP="00BF0C9B">
      <w:pPr>
        <w:shd w:val="clear" w:color="auto" w:fill="FFFFFF"/>
        <w:jc w:val="both"/>
        <w:rPr>
          <w:rFonts w:ascii="Times New Roman" w:hAnsi="Times New Roman" w:cs="Times New Roman"/>
          <w:color w:val="212121"/>
          <w:sz w:val="4"/>
          <w:szCs w:val="4"/>
        </w:rPr>
      </w:pPr>
    </w:p>
    <w:p w14:paraId="78AB3139" w14:textId="1570EBEA" w:rsidR="00BF0C9B" w:rsidRPr="002469FB" w:rsidRDefault="00BF0C9B" w:rsidP="00BF0C9B">
      <w:pPr>
        <w:shd w:val="clear" w:color="auto" w:fill="FFFFFF"/>
        <w:jc w:val="both"/>
        <w:rPr>
          <w:rFonts w:eastAsia="Times New Roman" w:cstheme="minorHAnsi"/>
          <w:color w:val="333333"/>
          <w:lang w:eastAsia="en-AU"/>
        </w:rPr>
      </w:pPr>
      <w:r w:rsidRPr="002469FB">
        <w:rPr>
          <w:rFonts w:cstheme="minorHAnsi"/>
          <w:color w:val="212121"/>
        </w:rPr>
        <w:t>Each of these accompanies a clear and simple diagram which is apt for its purpose. Copyright issues are one reason for not reproducing these diagrams here, but a more important reason is the original goal of this note which is to draw the reader’s attention to the actual work of Professor VanderWeele so that the reader goes to the original literature.</w:t>
      </w:r>
    </w:p>
    <w:p w14:paraId="7E8574C3" w14:textId="78088E76" w:rsidR="00BF0C9B" w:rsidRDefault="00BF0C9B" w:rsidP="00BF0C9B">
      <w:pPr>
        <w:pStyle w:val="NoSpacing"/>
        <w:ind w:left="284" w:hanging="284"/>
        <w:rPr>
          <w:rFonts w:cs="Arial"/>
          <w:b/>
        </w:rPr>
      </w:pPr>
      <w:r w:rsidRPr="003A2A97">
        <w:rPr>
          <w:rFonts w:cs="Arial"/>
          <w:b/>
        </w:rPr>
        <w:t>Concluding comments</w:t>
      </w:r>
    </w:p>
    <w:p w14:paraId="39928140" w14:textId="77777777" w:rsidR="00F13693" w:rsidRPr="003A2A97" w:rsidRDefault="00F13693" w:rsidP="00BF0C9B">
      <w:pPr>
        <w:pStyle w:val="NoSpacing"/>
        <w:ind w:left="284" w:hanging="284"/>
        <w:rPr>
          <w:rFonts w:cs="Arial"/>
          <w:b/>
        </w:rPr>
      </w:pPr>
    </w:p>
    <w:p w14:paraId="218764C1" w14:textId="1A0668C6" w:rsidR="00BF0C9B" w:rsidRDefault="00BF0C9B" w:rsidP="00BF0C9B">
      <w:pPr>
        <w:pStyle w:val="NoSpacing"/>
        <w:jc w:val="both"/>
        <w:rPr>
          <w:rFonts w:cs="Arial"/>
        </w:rPr>
      </w:pPr>
      <w:r w:rsidRPr="00630D7F">
        <w:rPr>
          <w:rFonts w:cs="Arial"/>
        </w:rPr>
        <w:t>‘Boyer Mark I’ had an impact on tenure and promotion in many colleges and universities in the USA</w:t>
      </w:r>
      <w:r w:rsidR="002469FB">
        <w:rPr>
          <w:rFonts w:cs="Arial"/>
        </w:rPr>
        <w:t>,</w:t>
      </w:r>
      <w:r w:rsidRPr="00630D7F">
        <w:rPr>
          <w:rFonts w:cs="Arial"/>
        </w:rPr>
        <w:t xml:space="preserve"> in that it affected the reward structure. It forced many institutions to review elite notions of university research and competitive individualism with the subsequent loss of serendipitous discoveries and discouragement of curiosity-driven research.</w:t>
      </w:r>
      <w:r>
        <w:rPr>
          <w:rFonts w:cs="Arial"/>
        </w:rPr>
        <w:t xml:space="preserve"> </w:t>
      </w:r>
      <w:r w:rsidRPr="00630D7F">
        <w:rPr>
          <w:rFonts w:cs="Arial"/>
        </w:rPr>
        <w:t xml:space="preserve">‘Boyer Mark II’ tries to untangle the causes and effects. In particular, it emphasizes that institutions must be faithful to their mission and vision, rather than “isomorphic to Harvard” which is a sure way to lose individual distinctiveness. </w:t>
      </w:r>
    </w:p>
    <w:p w14:paraId="07D1B6C8" w14:textId="77777777" w:rsidR="002469FB" w:rsidRDefault="002469FB" w:rsidP="002469FB">
      <w:pPr>
        <w:pStyle w:val="NoSpacing"/>
        <w:jc w:val="both"/>
        <w:rPr>
          <w:rFonts w:cs="Arial"/>
        </w:rPr>
      </w:pPr>
    </w:p>
    <w:p w14:paraId="25085A9C" w14:textId="382E17AC" w:rsidR="00BF0C9B" w:rsidRPr="002469FB" w:rsidRDefault="00BF0C9B" w:rsidP="002469FB">
      <w:pPr>
        <w:pStyle w:val="NoSpacing"/>
        <w:jc w:val="both"/>
        <w:rPr>
          <w:rFonts w:cs="Arial"/>
        </w:rPr>
      </w:pPr>
      <w:r w:rsidRPr="002469FB">
        <w:rPr>
          <w:rFonts w:cs="Arial"/>
        </w:rPr>
        <w:t>Competitive rankings of universities cannot measure everything in the mosaic of talent required in a teaching intensive higher education institution. The Times Higher Education (mock TEF) rankings has placed Loughborough number 1 in teaching and number 38 in research whereas Oxford University featured as number 1 in research and number 28 in teaching in the UK</w:t>
      </w:r>
      <w:r w:rsidR="00F13693">
        <w:rPr>
          <w:rStyle w:val="EndnoteReference"/>
          <w:rFonts w:cs="Arial"/>
        </w:rPr>
        <w:endnoteReference w:id="9"/>
      </w:r>
      <w:r w:rsidRPr="002469FB">
        <w:rPr>
          <w:rFonts w:cs="Arial"/>
        </w:rPr>
        <w:t>. As Professor Merlin Crossley of the University of New South Wales says: “to ignore the rankings, or deny their impact is a mistake. Definitely consider the data”</w:t>
      </w:r>
      <w:r w:rsidR="00F13693">
        <w:rPr>
          <w:rStyle w:val="EndnoteReference"/>
          <w:rFonts w:cs="Arial"/>
        </w:rPr>
        <w:endnoteReference w:id="10"/>
      </w:r>
      <w:r w:rsidRPr="002469FB">
        <w:rPr>
          <w:rFonts w:cs="Arial"/>
        </w:rPr>
        <w:t>. The key to Boyer is the understanding that there are multiple ways of measuring data and multiple models for defining otherwise unmeasurable success such as</w:t>
      </w:r>
    </w:p>
    <w:p w14:paraId="4C88DF40" w14:textId="77777777" w:rsidR="00BF0C9B" w:rsidRPr="002469FB" w:rsidRDefault="00BF0C9B" w:rsidP="00F5671F">
      <w:pPr>
        <w:pStyle w:val="NoSpacing"/>
        <w:numPr>
          <w:ilvl w:val="0"/>
          <w:numId w:val="14"/>
        </w:numPr>
        <w:jc w:val="both"/>
        <w:rPr>
          <w:rFonts w:cs="Arial"/>
        </w:rPr>
      </w:pPr>
      <w:r w:rsidRPr="002469FB">
        <w:rPr>
          <w:rFonts w:cs="Arial"/>
        </w:rPr>
        <w:t>public engagement,</w:t>
      </w:r>
    </w:p>
    <w:p w14:paraId="39E96627" w14:textId="77777777" w:rsidR="00BF0C9B" w:rsidRPr="002469FB" w:rsidRDefault="00BF0C9B" w:rsidP="00F5671F">
      <w:pPr>
        <w:pStyle w:val="NoSpacing"/>
        <w:numPr>
          <w:ilvl w:val="0"/>
          <w:numId w:val="14"/>
        </w:numPr>
        <w:jc w:val="both"/>
        <w:rPr>
          <w:rFonts w:cs="Arial"/>
        </w:rPr>
      </w:pPr>
      <w:r w:rsidRPr="002469FB">
        <w:rPr>
          <w:rFonts w:cs="Arial"/>
        </w:rPr>
        <w:t>the focus on the undergraduate experience,</w:t>
      </w:r>
    </w:p>
    <w:p w14:paraId="4A00C015" w14:textId="77777777" w:rsidR="00BF0C9B" w:rsidRPr="002469FB" w:rsidRDefault="00BF0C9B" w:rsidP="00F5671F">
      <w:pPr>
        <w:pStyle w:val="NoSpacing"/>
        <w:numPr>
          <w:ilvl w:val="0"/>
          <w:numId w:val="14"/>
        </w:numPr>
        <w:jc w:val="both"/>
        <w:rPr>
          <w:rFonts w:cs="Arial"/>
        </w:rPr>
      </w:pPr>
      <w:r w:rsidRPr="002469FB">
        <w:rPr>
          <w:rFonts w:cs="Arial"/>
        </w:rPr>
        <w:t>accessibility of staff for students, and so on.</w:t>
      </w:r>
    </w:p>
    <w:p w14:paraId="10206305" w14:textId="77777777" w:rsidR="002469FB" w:rsidRDefault="002469FB" w:rsidP="00BF0C9B">
      <w:pPr>
        <w:pStyle w:val="NoSpacing"/>
        <w:jc w:val="both"/>
        <w:rPr>
          <w:rFonts w:cs="Arial"/>
        </w:rPr>
      </w:pPr>
    </w:p>
    <w:p w14:paraId="19D5BE46" w14:textId="04120B06" w:rsidR="00BF0C9B" w:rsidRPr="00630D7F" w:rsidRDefault="00BF0C9B" w:rsidP="00BF0C9B">
      <w:pPr>
        <w:pStyle w:val="NoSpacing"/>
        <w:jc w:val="both"/>
        <w:rPr>
          <w:rFonts w:cs="Arial"/>
        </w:rPr>
      </w:pPr>
      <w:r w:rsidRPr="00630D7F">
        <w:rPr>
          <w:rFonts w:cs="Arial"/>
        </w:rPr>
        <w:t>Thus, even sitting for two hours in a coffee shop helping a student discern career options can contribute to an institution’s goals. However, the over-reliance on the relatively intangible does not sit well with accountants and regulators. Nelson refers to “the case for conformity – or institutional ‘convergence’” so that regulators can “read from a common script when it comes to knowledge policies and institutional models – the stage for institutional isomorphism in global higher education”</w:t>
      </w:r>
      <w:r w:rsidR="00245784">
        <w:rPr>
          <w:rStyle w:val="EndnoteReference"/>
          <w:rFonts w:cs="Arial"/>
        </w:rPr>
        <w:endnoteReference w:id="11"/>
      </w:r>
      <w:r w:rsidRPr="00630D7F">
        <w:rPr>
          <w:rFonts w:cs="Arial"/>
        </w:rPr>
        <w:t>. Those polled in a survey of Information Systems academics believed that the ranking systems inhibit innovative, risky research, and encourage safe, conforming, mainstream research, though the quality of published research had improved</w:t>
      </w:r>
      <w:r w:rsidR="00DB0E70">
        <w:rPr>
          <w:rStyle w:val="EndnoteReference"/>
          <w:rFonts w:cs="Arial"/>
        </w:rPr>
        <w:endnoteReference w:id="12"/>
      </w:r>
      <w:r>
        <w:rPr>
          <w:rFonts w:cs="Arial"/>
        </w:rPr>
        <w:t>.</w:t>
      </w:r>
    </w:p>
    <w:p w14:paraId="4590EC15" w14:textId="77777777" w:rsidR="00245784" w:rsidRDefault="00245784" w:rsidP="00245784">
      <w:pPr>
        <w:pStyle w:val="NoSpacing"/>
        <w:jc w:val="both"/>
        <w:rPr>
          <w:rFonts w:cs="Arial"/>
        </w:rPr>
      </w:pPr>
    </w:p>
    <w:p w14:paraId="37F13256" w14:textId="189FCD3A" w:rsidR="00BF0C9B" w:rsidRPr="00630D7F" w:rsidRDefault="00BF0C9B" w:rsidP="00245784">
      <w:pPr>
        <w:pStyle w:val="NoSpacing"/>
        <w:jc w:val="both"/>
        <w:rPr>
          <w:rFonts w:cs="Arial"/>
        </w:rPr>
      </w:pPr>
      <w:r w:rsidRPr="00630D7F">
        <w:rPr>
          <w:rFonts w:cs="Arial"/>
        </w:rPr>
        <w:t xml:space="preserve">Even graduate destination surveys by their very nature overlook the liberal virtues of education </w:t>
      </w:r>
      <w:r w:rsidRPr="00630D7F">
        <w:rPr>
          <w:rFonts w:cs="Arial"/>
          <w:i/>
        </w:rPr>
        <w:t>per se</w:t>
      </w:r>
      <w:r w:rsidRPr="00630D7F">
        <w:rPr>
          <w:rFonts w:cs="Arial"/>
        </w:rPr>
        <w:t>. Boyer Mark II points out, in the context of US education, how the Land Grant (Morrill Act) of 1862 aimed to support education in the liberal arts as well as training in the skills needed by society. The focus in higher education has drifted from general to specialized education, yet the value of a broadly defined liberal education in the arts in general, or the creative and performing arts in particular, can lay the foundation for a vocationally relevant education in any field.</w:t>
      </w:r>
    </w:p>
    <w:p w14:paraId="3B24DBD8" w14:textId="507DA278" w:rsidR="00BF0C9B" w:rsidRDefault="00BF0C9B" w:rsidP="00AB5456">
      <w:pPr>
        <w:pStyle w:val="NoSpacing"/>
        <w:jc w:val="both"/>
        <w:rPr>
          <w:rFonts w:cs="Arial"/>
        </w:rPr>
      </w:pPr>
      <w:r w:rsidRPr="00630D7F">
        <w:rPr>
          <w:rFonts w:cs="Arial"/>
        </w:rPr>
        <w:lastRenderedPageBreak/>
        <w:t>An institution has to remain true to its own values, usually enshrined in its mission, vision and objectives: the reasons for its existence. However, the context in which it achieves the communication of these values is often the Achilles heel of a higher education provider. The chain of communication is different from, but complementary to, the chain of command. The former is informal, whereas the latter is formal. The two chains must work in harmony, shaped and sharpened by the institution’s operational units in the context of the mission and vision. Just as ambiguity and indecision cause casualties in battle, so too can they disrupt and thwart in any organisation. Academics, like soldiers, do not wish to waste their lives and the lives of those whom they serve, under inept commander, whether within institutions or at the behest of governments or affiliated regulatory authorities. There should be no confusion of communication in this context between the process of management and the art of leadership</w:t>
      </w:r>
      <w:r>
        <w:rPr>
          <w:rFonts w:cs="Arial"/>
        </w:rPr>
        <w:t>.</w:t>
      </w:r>
    </w:p>
    <w:p w14:paraId="27C759B4" w14:textId="77777777" w:rsidR="00AB5456" w:rsidRPr="00630D7F" w:rsidRDefault="00AB5456" w:rsidP="00AB5456">
      <w:pPr>
        <w:pStyle w:val="NoSpacing"/>
        <w:jc w:val="both"/>
        <w:rPr>
          <w:rFonts w:cs="Arial"/>
        </w:rPr>
      </w:pPr>
    </w:p>
    <w:p w14:paraId="56062898" w14:textId="08451276" w:rsidR="00BF0C9B" w:rsidRDefault="00BF0C9B" w:rsidP="00AB5456">
      <w:pPr>
        <w:spacing w:after="0"/>
        <w:jc w:val="both"/>
        <w:rPr>
          <w:rFonts w:ascii="Calibri" w:hAnsi="Calibri"/>
        </w:rPr>
      </w:pPr>
      <w:r w:rsidRPr="00630D7F">
        <w:rPr>
          <w:rFonts w:ascii="Calibri" w:hAnsi="Calibri" w:cs="Arial"/>
        </w:rPr>
        <w:t xml:space="preserve">Regulators, both internal and external, place importance on data collection and reporting.  </w:t>
      </w:r>
      <w:r w:rsidRPr="00630D7F">
        <w:rPr>
          <w:rFonts w:ascii="Calibri" w:hAnsi="Calibri"/>
        </w:rPr>
        <w:t xml:space="preserve">As </w:t>
      </w:r>
      <w:r w:rsidR="00AB5456" w:rsidRPr="00630D7F">
        <w:rPr>
          <w:rFonts w:ascii="Calibri" w:hAnsi="Calibri"/>
        </w:rPr>
        <w:t>Davis puts</w:t>
      </w:r>
      <w:r w:rsidRPr="00630D7F">
        <w:rPr>
          <w:rFonts w:ascii="Calibri" w:hAnsi="Calibri"/>
        </w:rPr>
        <w:t xml:space="preserve"> it: “With Australia’s universities now virtually rid of the “</w:t>
      </w:r>
      <w:proofErr w:type="spellStart"/>
      <w:r w:rsidRPr="00630D7F">
        <w:rPr>
          <w:rFonts w:ascii="Calibri" w:hAnsi="Calibri"/>
        </w:rPr>
        <w:t>Newmanesque</w:t>
      </w:r>
      <w:proofErr w:type="spellEnd"/>
      <w:r w:rsidRPr="00630D7F">
        <w:rPr>
          <w:rFonts w:ascii="Calibri" w:hAnsi="Calibri"/>
        </w:rPr>
        <w:t>” spirit that made them great, true scholarship has become a guerrilla art”!</w:t>
      </w:r>
      <w:r w:rsidR="00AB5456">
        <w:rPr>
          <w:rStyle w:val="EndnoteReference"/>
          <w:rFonts w:ascii="Calibri" w:hAnsi="Calibri"/>
        </w:rPr>
        <w:endnoteReference w:id="13"/>
      </w:r>
      <w:r w:rsidRPr="00630D7F">
        <w:rPr>
          <w:rFonts w:ascii="Calibri" w:hAnsi="Calibri"/>
        </w:rPr>
        <w:t xml:space="preserve"> The positive response is that the niches abound for those higher education providers with vision to go beyond the restrictions of the reporting required by the Regulators. Some of it is meaningless</w:t>
      </w:r>
      <w:r w:rsidR="00AB5456">
        <w:rPr>
          <w:rFonts w:ascii="Calibri" w:hAnsi="Calibri"/>
        </w:rPr>
        <w:t xml:space="preserve">. For example, </w:t>
      </w:r>
      <w:r w:rsidRPr="00630D7F">
        <w:rPr>
          <w:rFonts w:ascii="Calibri" w:hAnsi="Calibri"/>
        </w:rPr>
        <w:t>if it is trying to measure completion rates when students have enrolled in some subjects out of interest</w:t>
      </w:r>
      <w:r w:rsidR="00AB5456">
        <w:rPr>
          <w:rFonts w:ascii="Calibri" w:hAnsi="Calibri"/>
        </w:rPr>
        <w:t xml:space="preserve">. Similarly, </w:t>
      </w:r>
      <w:r w:rsidRPr="00630D7F">
        <w:rPr>
          <w:rFonts w:ascii="Calibri" w:hAnsi="Calibri"/>
        </w:rPr>
        <w:t>measur</w:t>
      </w:r>
      <w:r w:rsidR="00AB5456">
        <w:rPr>
          <w:rFonts w:ascii="Calibri" w:hAnsi="Calibri"/>
        </w:rPr>
        <w:t>ing</w:t>
      </w:r>
      <w:r w:rsidRPr="00630D7F">
        <w:rPr>
          <w:rFonts w:ascii="Calibri" w:hAnsi="Calibri"/>
        </w:rPr>
        <w:t xml:space="preserve"> graduate destinations for those who completed a degree merely to be better educated! Some measures are also statistically meaningless</w:t>
      </w:r>
      <w:r w:rsidR="00AB5456">
        <w:rPr>
          <w:rFonts w:ascii="Calibri" w:hAnsi="Calibri"/>
        </w:rPr>
        <w:t>,</w:t>
      </w:r>
      <w:r w:rsidRPr="00630D7F">
        <w:rPr>
          <w:rFonts w:ascii="Calibri" w:hAnsi="Calibri"/>
        </w:rPr>
        <w:t xml:space="preserve"> because they do not account for standard errors with variations in </w:t>
      </w:r>
      <w:r w:rsidR="00AB5456" w:rsidRPr="00630D7F">
        <w:rPr>
          <w:rFonts w:ascii="Calibri" w:hAnsi="Calibri"/>
        </w:rPr>
        <w:t>size</w:t>
      </w:r>
      <w:r w:rsidR="00AB5456">
        <w:rPr>
          <w:rFonts w:ascii="Calibri" w:hAnsi="Calibri"/>
        </w:rPr>
        <w:t xml:space="preserve"> or</w:t>
      </w:r>
      <w:r w:rsidRPr="00630D7F">
        <w:rPr>
          <w:rFonts w:ascii="Calibri" w:hAnsi="Calibri"/>
        </w:rPr>
        <w:t xml:space="preserve"> utilise parametric statistics when distribution-free measures are more appropriate.</w:t>
      </w:r>
    </w:p>
    <w:p w14:paraId="7C02BCE2" w14:textId="77777777" w:rsidR="00AB5456" w:rsidRDefault="00AB5456" w:rsidP="00AB5456">
      <w:pPr>
        <w:pStyle w:val="NoSpacing"/>
        <w:jc w:val="both"/>
        <w:rPr>
          <w:rFonts w:cs="Arial"/>
        </w:rPr>
      </w:pPr>
    </w:p>
    <w:p w14:paraId="4550387E" w14:textId="101511A8" w:rsidR="00BF0C9B" w:rsidRPr="00DE4492" w:rsidRDefault="00BF0C9B" w:rsidP="00AB5456">
      <w:pPr>
        <w:pStyle w:val="NoSpacing"/>
        <w:jc w:val="both"/>
        <w:rPr>
          <w:rFonts w:cs="Arial"/>
        </w:rPr>
      </w:pPr>
      <w:r w:rsidRPr="00DE4492">
        <w:rPr>
          <w:rFonts w:cs="Arial"/>
        </w:rPr>
        <w:t>Nevertheless, measurement of Scholarship within a ‘teaching-intensive’ higher education provider can include</w:t>
      </w:r>
      <w:r w:rsidR="00AB5456" w:rsidRPr="00DE4492">
        <w:rPr>
          <w:rFonts w:cs="Arial"/>
        </w:rPr>
        <w:t>:</w:t>
      </w:r>
    </w:p>
    <w:p w14:paraId="31941B7B" w14:textId="77777777" w:rsidR="00BF0C9B" w:rsidRPr="00DE4492" w:rsidRDefault="00BF0C9B" w:rsidP="00F5671F">
      <w:pPr>
        <w:pStyle w:val="ListParagraph"/>
        <w:numPr>
          <w:ilvl w:val="0"/>
          <w:numId w:val="7"/>
        </w:numPr>
        <w:spacing w:after="0" w:line="240" w:lineRule="auto"/>
        <w:ind w:left="426" w:hanging="426"/>
        <w:jc w:val="both"/>
        <w:rPr>
          <w:rFonts w:cs="Arial"/>
        </w:rPr>
      </w:pPr>
      <w:r w:rsidRPr="00DE4492">
        <w:rPr>
          <w:rFonts w:cs="Arial"/>
          <w:i/>
        </w:rPr>
        <w:t>qualitative</w:t>
      </w:r>
      <w:r w:rsidRPr="00DE4492">
        <w:rPr>
          <w:rFonts w:cs="Arial"/>
        </w:rPr>
        <w:t xml:space="preserve"> measures such as </w:t>
      </w:r>
    </w:p>
    <w:p w14:paraId="19EF1221" w14:textId="77777777" w:rsidR="00BF0C9B" w:rsidRPr="00DE4492" w:rsidRDefault="00BF0C9B" w:rsidP="00F5671F">
      <w:pPr>
        <w:pStyle w:val="ListParagraph"/>
        <w:numPr>
          <w:ilvl w:val="0"/>
          <w:numId w:val="8"/>
        </w:numPr>
        <w:spacing w:after="0" w:line="240" w:lineRule="auto"/>
        <w:jc w:val="both"/>
        <w:rPr>
          <w:rFonts w:cs="Arial"/>
        </w:rPr>
      </w:pPr>
      <w:r w:rsidRPr="00DE4492">
        <w:rPr>
          <w:rFonts w:cs="Arial"/>
        </w:rPr>
        <w:t xml:space="preserve">changes in attitudes (more enthusiasm) of teachers and students, </w:t>
      </w:r>
    </w:p>
    <w:p w14:paraId="03974AAB" w14:textId="77777777" w:rsidR="00BF0C9B" w:rsidRPr="00DE4492" w:rsidRDefault="00BF0C9B" w:rsidP="00F5671F">
      <w:pPr>
        <w:pStyle w:val="ListParagraph"/>
        <w:numPr>
          <w:ilvl w:val="0"/>
          <w:numId w:val="8"/>
        </w:numPr>
        <w:spacing w:after="0" w:line="240" w:lineRule="auto"/>
        <w:jc w:val="both"/>
        <w:rPr>
          <w:rFonts w:cs="Arial"/>
        </w:rPr>
      </w:pPr>
      <w:r w:rsidRPr="00DE4492">
        <w:rPr>
          <w:rFonts w:cs="Arial"/>
        </w:rPr>
        <w:t xml:space="preserve">sharing of ideas among staff, </w:t>
      </w:r>
    </w:p>
    <w:p w14:paraId="5E182AF5" w14:textId="77777777" w:rsidR="00BF0C9B" w:rsidRPr="00DE4492" w:rsidRDefault="00BF0C9B" w:rsidP="00F5671F">
      <w:pPr>
        <w:pStyle w:val="ListParagraph"/>
        <w:numPr>
          <w:ilvl w:val="0"/>
          <w:numId w:val="8"/>
        </w:numPr>
        <w:spacing w:after="0" w:line="240" w:lineRule="auto"/>
        <w:jc w:val="both"/>
        <w:rPr>
          <w:rFonts w:cs="Arial"/>
        </w:rPr>
      </w:pPr>
      <w:r w:rsidRPr="00DE4492">
        <w:rPr>
          <w:rFonts w:cs="Arial"/>
        </w:rPr>
        <w:t xml:space="preserve">increased esprit de corps, </w:t>
      </w:r>
    </w:p>
    <w:p w14:paraId="6034D29E" w14:textId="77777777" w:rsidR="00BF0C9B" w:rsidRPr="00DE4492" w:rsidRDefault="00BF0C9B" w:rsidP="00F5671F">
      <w:pPr>
        <w:pStyle w:val="ListParagraph"/>
        <w:numPr>
          <w:ilvl w:val="0"/>
          <w:numId w:val="8"/>
        </w:numPr>
        <w:spacing w:after="0" w:line="240" w:lineRule="auto"/>
        <w:jc w:val="both"/>
        <w:rPr>
          <w:rFonts w:cs="Arial"/>
        </w:rPr>
      </w:pPr>
      <w:r w:rsidRPr="00DE4492">
        <w:rPr>
          <w:rFonts w:cs="Arial"/>
        </w:rPr>
        <w:t xml:space="preserve">broadening the range of appropriate teaching techniques, and </w:t>
      </w:r>
    </w:p>
    <w:p w14:paraId="6580DA87" w14:textId="77777777" w:rsidR="00BF0C9B" w:rsidRPr="00DE4492" w:rsidRDefault="00BF0C9B" w:rsidP="00F5671F">
      <w:pPr>
        <w:pStyle w:val="ListParagraph"/>
        <w:numPr>
          <w:ilvl w:val="0"/>
          <w:numId w:val="10"/>
        </w:numPr>
        <w:spacing w:after="0" w:line="240" w:lineRule="auto"/>
        <w:jc w:val="both"/>
        <w:rPr>
          <w:rFonts w:cs="Arial"/>
        </w:rPr>
      </w:pPr>
      <w:r w:rsidRPr="00DE4492">
        <w:rPr>
          <w:rFonts w:cs="Arial"/>
        </w:rPr>
        <w:t>constructive relations with regulators, and</w:t>
      </w:r>
    </w:p>
    <w:p w14:paraId="1B4C52CC" w14:textId="77777777" w:rsidR="00BF0C9B" w:rsidRPr="00DE4492" w:rsidRDefault="00BF0C9B" w:rsidP="00F5671F">
      <w:pPr>
        <w:pStyle w:val="ListParagraph"/>
        <w:numPr>
          <w:ilvl w:val="0"/>
          <w:numId w:val="9"/>
        </w:numPr>
        <w:spacing w:after="0" w:line="240" w:lineRule="auto"/>
        <w:ind w:left="426" w:hanging="426"/>
        <w:jc w:val="both"/>
        <w:rPr>
          <w:rFonts w:cs="Arial"/>
        </w:rPr>
      </w:pPr>
      <w:r w:rsidRPr="00DE4492">
        <w:rPr>
          <w:rFonts w:cs="Arial"/>
          <w:i/>
        </w:rPr>
        <w:t>quantitative</w:t>
      </w:r>
      <w:r w:rsidRPr="00DE4492">
        <w:rPr>
          <w:rFonts w:cs="Arial"/>
        </w:rPr>
        <w:t xml:space="preserve"> measures associated with </w:t>
      </w:r>
    </w:p>
    <w:p w14:paraId="5A112936" w14:textId="77777777" w:rsidR="00BF0C9B" w:rsidRPr="00DE4492" w:rsidRDefault="00BF0C9B" w:rsidP="00F5671F">
      <w:pPr>
        <w:pStyle w:val="ListParagraph"/>
        <w:numPr>
          <w:ilvl w:val="0"/>
          <w:numId w:val="11"/>
        </w:numPr>
        <w:spacing w:after="0" w:line="240" w:lineRule="auto"/>
        <w:jc w:val="both"/>
        <w:rPr>
          <w:rFonts w:cs="Arial"/>
        </w:rPr>
      </w:pPr>
      <w:r w:rsidRPr="00DE4492">
        <w:rPr>
          <w:rFonts w:cs="Arial"/>
        </w:rPr>
        <w:t xml:space="preserve">student satisfaction questionnaires, </w:t>
      </w:r>
    </w:p>
    <w:p w14:paraId="5F66D2EF" w14:textId="77777777" w:rsidR="00BF0C9B" w:rsidRPr="00DE4492" w:rsidRDefault="00BF0C9B" w:rsidP="00F5671F">
      <w:pPr>
        <w:pStyle w:val="ListParagraph"/>
        <w:numPr>
          <w:ilvl w:val="0"/>
          <w:numId w:val="11"/>
        </w:numPr>
        <w:spacing w:after="0" w:line="240" w:lineRule="auto"/>
        <w:jc w:val="both"/>
        <w:rPr>
          <w:rFonts w:cs="Arial"/>
        </w:rPr>
      </w:pPr>
      <w:r w:rsidRPr="00DE4492">
        <w:rPr>
          <w:rFonts w:cs="Arial"/>
        </w:rPr>
        <w:t xml:space="preserve">feedback from stakeholders, </w:t>
      </w:r>
    </w:p>
    <w:p w14:paraId="06B6FE42" w14:textId="77777777" w:rsidR="00BF0C9B" w:rsidRPr="00DE4492" w:rsidRDefault="00BF0C9B" w:rsidP="00F5671F">
      <w:pPr>
        <w:pStyle w:val="ListParagraph"/>
        <w:numPr>
          <w:ilvl w:val="0"/>
          <w:numId w:val="11"/>
        </w:numPr>
        <w:spacing w:after="0" w:line="240" w:lineRule="auto"/>
        <w:jc w:val="both"/>
        <w:rPr>
          <w:rFonts w:cs="Arial"/>
        </w:rPr>
      </w:pPr>
      <w:r w:rsidRPr="00DE4492">
        <w:rPr>
          <w:rFonts w:cs="Arial"/>
        </w:rPr>
        <w:t>graduate destinations,</w:t>
      </w:r>
    </w:p>
    <w:p w14:paraId="3544DEE0" w14:textId="77777777" w:rsidR="00BF0C9B" w:rsidRPr="00DE4492" w:rsidRDefault="00BF0C9B" w:rsidP="00F5671F">
      <w:pPr>
        <w:pStyle w:val="ListParagraph"/>
        <w:numPr>
          <w:ilvl w:val="0"/>
          <w:numId w:val="11"/>
        </w:numPr>
        <w:spacing w:after="0" w:line="240" w:lineRule="auto"/>
        <w:jc w:val="both"/>
        <w:rPr>
          <w:rFonts w:cs="Arial"/>
        </w:rPr>
      </w:pPr>
      <w:r w:rsidRPr="00DE4492">
        <w:rPr>
          <w:rFonts w:cs="Arial"/>
        </w:rPr>
        <w:t>improved pass, retention and completion rates,</w:t>
      </w:r>
    </w:p>
    <w:p w14:paraId="2E271A5B" w14:textId="77777777" w:rsidR="00BF0C9B" w:rsidRPr="00DE4492" w:rsidRDefault="00BF0C9B" w:rsidP="00F5671F">
      <w:pPr>
        <w:pStyle w:val="ListParagraph"/>
        <w:numPr>
          <w:ilvl w:val="0"/>
          <w:numId w:val="11"/>
        </w:numPr>
        <w:spacing w:after="0" w:line="240" w:lineRule="auto"/>
        <w:jc w:val="both"/>
        <w:rPr>
          <w:rFonts w:cs="Arial"/>
        </w:rPr>
      </w:pPr>
      <w:r w:rsidRPr="00DE4492">
        <w:rPr>
          <w:rFonts w:cs="Arial"/>
        </w:rPr>
        <w:t xml:space="preserve">exploratory data analysis techniques, and so on. </w:t>
      </w:r>
    </w:p>
    <w:p w14:paraId="2D2AECE0" w14:textId="5CE1F99B" w:rsidR="00BF0C9B" w:rsidRPr="00DE4492" w:rsidRDefault="00BF0C9B" w:rsidP="00BF0C9B">
      <w:pPr>
        <w:jc w:val="both"/>
        <w:rPr>
          <w:rFonts w:ascii="Calibri" w:hAnsi="Calibri" w:cs="Arial"/>
        </w:rPr>
      </w:pPr>
      <w:r w:rsidRPr="00DE4492">
        <w:rPr>
          <w:rFonts w:ascii="Calibri" w:hAnsi="Calibri" w:cs="Arial"/>
        </w:rPr>
        <w:t>Ultimately, the interpretation and meaning of the data depend more specifically on the mission, vision and objectives of the provider.  While attitudinal changes can be quantitatively measured, it is not suggested here that this be generally attempted</w:t>
      </w:r>
      <w:r w:rsidR="00AB5456" w:rsidRPr="00DE4492">
        <w:rPr>
          <w:rFonts w:ascii="Calibri" w:hAnsi="Calibri" w:cs="Arial"/>
        </w:rPr>
        <w:t>,</w:t>
      </w:r>
      <w:r w:rsidRPr="00DE4492">
        <w:rPr>
          <w:rFonts w:ascii="Calibri" w:hAnsi="Calibri" w:cs="Arial"/>
        </w:rPr>
        <w:t xml:space="preserve"> since scholarly attitudes vary with the personality of the scholar, the field of discourse and the culture of the provider. </w:t>
      </w:r>
    </w:p>
    <w:p w14:paraId="048ABEE9" w14:textId="3B2B9889" w:rsidR="00BF0C9B" w:rsidRPr="00630D7F" w:rsidRDefault="00BF0C9B" w:rsidP="00BF0C9B">
      <w:pPr>
        <w:jc w:val="both"/>
        <w:outlineLvl w:val="3"/>
        <w:rPr>
          <w:rFonts w:ascii="Calibri" w:hAnsi="Calibri" w:cs="Arial"/>
          <w:b/>
          <w:bCs/>
          <w:color w:val="587B39"/>
          <w:spacing w:val="15"/>
        </w:rPr>
      </w:pPr>
      <w:r w:rsidRPr="00630D7F">
        <w:rPr>
          <w:rFonts w:ascii="Calibri" w:hAnsi="Calibri" w:cs="Arial"/>
          <w:b/>
          <w:bCs/>
          <w:color w:val="211D1E"/>
          <w:spacing w:val="15"/>
        </w:rPr>
        <w:t>References</w:t>
      </w:r>
      <w:r>
        <w:rPr>
          <w:rFonts w:ascii="Calibri" w:hAnsi="Calibri" w:cs="Arial"/>
          <w:b/>
          <w:bCs/>
          <w:color w:val="211D1E"/>
          <w:spacing w:val="15"/>
        </w:rPr>
        <w:t>&amp; further related readings</w:t>
      </w:r>
      <w:r w:rsidRPr="00630D7F">
        <w:rPr>
          <w:rFonts w:ascii="Calibri" w:hAnsi="Calibri" w:cs="Arial"/>
          <w:b/>
          <w:bCs/>
          <w:color w:val="211D1E"/>
          <w:spacing w:val="15"/>
        </w:rPr>
        <w:t xml:space="preserve"> </w:t>
      </w:r>
    </w:p>
    <w:p w14:paraId="59CA9FA0" w14:textId="77777777" w:rsidR="00BF0C9B" w:rsidRPr="00BF0C9B" w:rsidRDefault="00BF0C9B" w:rsidP="00BF0C9B">
      <w:pPr>
        <w:pStyle w:val="NoSpacing"/>
        <w:jc w:val="both"/>
        <w:rPr>
          <w:rFonts w:cs="Arial"/>
        </w:rPr>
      </w:pPr>
      <w:r w:rsidRPr="00BF0C9B">
        <w:rPr>
          <w:rFonts w:cs="Arial"/>
        </w:rPr>
        <w:t xml:space="preserve">Boyer, E. L. 1997. </w:t>
      </w:r>
      <w:r w:rsidRPr="00BF0C9B">
        <w:rPr>
          <w:rFonts w:cs="Arial"/>
          <w:i/>
        </w:rPr>
        <w:t>Scholarship Reconsidered: Priorities of the Professoriate</w:t>
      </w:r>
      <w:r w:rsidRPr="00BF0C9B">
        <w:rPr>
          <w:rFonts w:cs="Arial"/>
        </w:rPr>
        <w:t xml:space="preserve">. San Francisco: Jossey-Bass. </w:t>
      </w:r>
    </w:p>
    <w:p w14:paraId="4D5A92B1" w14:textId="77777777" w:rsidR="00BF0C9B" w:rsidRPr="00BF0C9B" w:rsidRDefault="00BF0C9B" w:rsidP="00BF0C9B">
      <w:pPr>
        <w:pStyle w:val="FootnoteText"/>
        <w:ind w:left="720" w:hanging="720"/>
        <w:jc w:val="both"/>
        <w:rPr>
          <w:rFonts w:ascii="Calibri" w:hAnsi="Calibri"/>
          <w:sz w:val="22"/>
          <w:szCs w:val="22"/>
        </w:rPr>
      </w:pPr>
      <w:r w:rsidRPr="00BF0C9B">
        <w:rPr>
          <w:rFonts w:ascii="Calibri" w:hAnsi="Calibri"/>
          <w:sz w:val="22"/>
          <w:szCs w:val="22"/>
        </w:rPr>
        <w:t xml:space="preserve">Boyer, Ernest L. 2016. </w:t>
      </w:r>
      <w:r w:rsidRPr="00BF0C9B">
        <w:rPr>
          <w:rFonts w:ascii="Calibri" w:hAnsi="Calibri"/>
          <w:i/>
          <w:sz w:val="22"/>
          <w:szCs w:val="22"/>
        </w:rPr>
        <w:t>Scholarship Reconsidered: Priorities of the Professoriate</w:t>
      </w:r>
      <w:r w:rsidRPr="00BF0C9B">
        <w:rPr>
          <w:rFonts w:ascii="Calibri" w:hAnsi="Calibri"/>
          <w:sz w:val="22"/>
          <w:szCs w:val="22"/>
        </w:rPr>
        <w:t>. [Updated and Expanded by Drew Moser, Todd C Ream, John M Braxton and Associates.] The Carnegie Foundation for the Advancement of Teaching. San Francisco, CA: Jossey Bass.</w:t>
      </w:r>
    </w:p>
    <w:p w14:paraId="26BA7AC7" w14:textId="77777777" w:rsidR="00BF0C9B" w:rsidRPr="00BF0C9B" w:rsidRDefault="00BF0C9B" w:rsidP="00BF0C9B">
      <w:pPr>
        <w:pStyle w:val="NoSpacing"/>
        <w:ind w:left="709" w:hanging="709"/>
        <w:jc w:val="both"/>
        <w:rPr>
          <w:rFonts w:cs="Arial"/>
        </w:rPr>
      </w:pPr>
      <w:r w:rsidRPr="00BF0C9B">
        <w:rPr>
          <w:rFonts w:cs="Arial"/>
        </w:rPr>
        <w:t xml:space="preserve">Newman, John Henry (author), Frank M Turner (editor). 1996. </w:t>
      </w:r>
      <w:r w:rsidRPr="00BF0C9B">
        <w:rPr>
          <w:rFonts w:cs="Arial"/>
          <w:i/>
        </w:rPr>
        <w:t>The Idea of a University</w:t>
      </w:r>
      <w:r w:rsidRPr="00BF0C9B">
        <w:rPr>
          <w:rFonts w:cs="Arial"/>
        </w:rPr>
        <w:t>. (Other contributors: Martha McMackin Garland, Sara Castro-</w:t>
      </w:r>
      <w:proofErr w:type="spellStart"/>
      <w:r w:rsidRPr="00BF0C9B">
        <w:rPr>
          <w:rFonts w:cs="Arial"/>
        </w:rPr>
        <w:t>Klarén</w:t>
      </w:r>
      <w:proofErr w:type="spellEnd"/>
      <w:r w:rsidRPr="00BF0C9B">
        <w:rPr>
          <w:rFonts w:cs="Arial"/>
        </w:rPr>
        <w:t xml:space="preserve">, George P Landow, </w:t>
      </w:r>
      <w:proofErr w:type="spellStart"/>
      <w:r w:rsidRPr="00BF0C9B">
        <w:rPr>
          <w:rFonts w:cs="Arial"/>
        </w:rPr>
        <w:t>Georeg</w:t>
      </w:r>
      <w:proofErr w:type="spellEnd"/>
      <w:r w:rsidRPr="00BF0C9B">
        <w:rPr>
          <w:rFonts w:cs="Arial"/>
        </w:rPr>
        <w:t xml:space="preserve"> M Marsden.) New Haven and London: Yale University Press.</w:t>
      </w:r>
    </w:p>
    <w:p w14:paraId="5B04DC0A" w14:textId="77777777" w:rsidR="00BF0C9B" w:rsidRPr="00BF0C9B" w:rsidRDefault="00BF0C9B" w:rsidP="00BF0C9B">
      <w:pPr>
        <w:spacing w:after="0" w:line="240" w:lineRule="auto"/>
        <w:ind w:left="709" w:hanging="709"/>
        <w:jc w:val="both"/>
      </w:pPr>
      <w:r w:rsidRPr="00BF0C9B">
        <w:lastRenderedPageBreak/>
        <w:t xml:space="preserve">Jones, Stephen L. 2017. A different perspective of the teaching philosophy of RL Moore. </w:t>
      </w:r>
      <w:r w:rsidRPr="00BF0C9B">
        <w:rPr>
          <w:i/>
        </w:rPr>
        <w:t xml:space="preserve">International Journal of Mathematical Education in Science and Technology. </w:t>
      </w:r>
      <w:r w:rsidRPr="00BF0C9B">
        <w:t>48 (2): 300-306.</w:t>
      </w:r>
    </w:p>
    <w:p w14:paraId="647A4ADD" w14:textId="77777777" w:rsidR="00BF0C9B" w:rsidRPr="00BF0C9B" w:rsidRDefault="00BF0C9B" w:rsidP="00BF0C9B">
      <w:pPr>
        <w:spacing w:after="0" w:line="240" w:lineRule="auto"/>
        <w:ind w:left="709" w:hanging="709"/>
        <w:jc w:val="both"/>
      </w:pPr>
      <w:r w:rsidRPr="00BF0C9B">
        <w:t xml:space="preserve">Larcombe, Peter. 2017. Overpraise is everywhere, and universities are not immune. </w:t>
      </w:r>
      <w:hyperlink r:id="rId14" w:history="1">
        <w:r w:rsidRPr="00BF0C9B">
          <w:rPr>
            <w:rStyle w:val="Hyperlink"/>
          </w:rPr>
          <w:t>https://www.timeshig</w:t>
        </w:r>
        <w:r w:rsidRPr="00BF0C9B">
          <w:rPr>
            <w:rStyle w:val="Hyperlink"/>
          </w:rPr>
          <w:t>h</w:t>
        </w:r>
        <w:r w:rsidRPr="00BF0C9B">
          <w:rPr>
            <w:rStyle w:val="Hyperlink"/>
          </w:rPr>
          <w:t>ereducation.com/blog/overpraise-everywhere-and-universities-are-not-immune</w:t>
        </w:r>
      </w:hyperlink>
      <w:r w:rsidRPr="00BF0C9B">
        <w:rPr>
          <w:rStyle w:val="Strong"/>
          <w:color w:val="000000"/>
        </w:rPr>
        <w:t>.</w:t>
      </w:r>
    </w:p>
    <w:p w14:paraId="4296FB51" w14:textId="77777777" w:rsidR="00BF0C9B" w:rsidRDefault="00BF0C9B" w:rsidP="00BF0C9B">
      <w:pPr>
        <w:pStyle w:val="NoSpacing"/>
        <w:ind w:left="709" w:hanging="709"/>
        <w:jc w:val="both"/>
        <w:rPr>
          <w:rFonts w:cs="Arial"/>
        </w:rPr>
      </w:pPr>
      <w:r w:rsidRPr="00C73872">
        <w:rPr>
          <w:rFonts w:cs="Arial"/>
          <w:lang w:val="de-DE"/>
        </w:rPr>
        <w:t xml:space="preserve">Kaplan, Robert S., Anette Mikes. </w:t>
      </w:r>
      <w:r w:rsidRPr="00BF0C9B">
        <w:rPr>
          <w:rFonts w:cs="Arial"/>
        </w:rPr>
        <w:t xml:space="preserve">2012. Managing Risks: A new Framework. </w:t>
      </w:r>
      <w:r w:rsidRPr="00BF0C9B">
        <w:rPr>
          <w:rFonts w:cs="Arial"/>
          <w:i/>
        </w:rPr>
        <w:t xml:space="preserve">Harvard Business Review. </w:t>
      </w:r>
      <w:r w:rsidRPr="00BF0C9B">
        <w:rPr>
          <w:rFonts w:cs="Arial"/>
        </w:rPr>
        <w:t>90 (6): 49-60.</w:t>
      </w:r>
    </w:p>
    <w:p w14:paraId="6E9F1EAD" w14:textId="249FCFD6" w:rsidR="00B83D7F" w:rsidRDefault="00B83D7F" w:rsidP="00BF0C9B">
      <w:pPr>
        <w:pStyle w:val="NoSpacing"/>
        <w:ind w:left="709" w:hanging="709"/>
        <w:jc w:val="both"/>
      </w:pPr>
      <w:r>
        <w:t>VanderWeele,</w:t>
      </w:r>
      <w:r w:rsidRPr="003A2A97">
        <w:t xml:space="preserve"> </w:t>
      </w:r>
      <w:r>
        <w:t xml:space="preserve">Tyler J. </w:t>
      </w:r>
      <w:proofErr w:type="spellStart"/>
      <w:r>
        <w:t>Vansteelandt</w:t>
      </w:r>
      <w:proofErr w:type="spellEnd"/>
      <w:r>
        <w:t xml:space="preserve">, Stijn. 2022. A Statistical Test to Reject the Structural interpretation of a Latent Factor Model. </w:t>
      </w:r>
      <w:r w:rsidRPr="003A2A97">
        <w:rPr>
          <w:i/>
          <w:iCs/>
        </w:rPr>
        <w:t>Journal of the Royal Statistical Society Series B: Statistical Methodology</w:t>
      </w:r>
      <w:r>
        <w:t xml:space="preserve">. 84(5): 2032–2054. </w:t>
      </w:r>
      <w:hyperlink r:id="rId15" w:history="1">
        <w:r w:rsidRPr="00834D0B">
          <w:rPr>
            <w:rStyle w:val="Hyperlink"/>
          </w:rPr>
          <w:t>https://doi.org/10.1111/rssb.12555</w:t>
        </w:r>
      </w:hyperlink>
    </w:p>
    <w:p w14:paraId="2F08AD90" w14:textId="0DED03C8" w:rsidR="00BF0C9B" w:rsidRPr="00BF0C9B" w:rsidRDefault="00BF0C9B" w:rsidP="00BF0C9B">
      <w:pPr>
        <w:pStyle w:val="NoSpacing"/>
        <w:ind w:left="709" w:hanging="709"/>
        <w:jc w:val="both"/>
        <w:rPr>
          <w:rFonts w:cs="Arial"/>
        </w:rPr>
      </w:pPr>
      <w:r w:rsidRPr="00BF0C9B">
        <w:rPr>
          <w:rFonts w:cs="Arial"/>
        </w:rPr>
        <w:t xml:space="preserve">Hannant, Ruth, Polly Payne. 2016. </w:t>
      </w:r>
      <w:r w:rsidRPr="00BF0C9B">
        <w:rPr>
          <w:rFonts w:cs="Arial"/>
          <w:i/>
        </w:rPr>
        <w:t>Teaching Excellence Framework Funding</w:t>
      </w:r>
      <w:r w:rsidRPr="00BF0C9B">
        <w:rPr>
          <w:rFonts w:cs="Arial"/>
        </w:rPr>
        <w:t xml:space="preserve">.  Bristol: Department for Business Innovation and Skills. </w:t>
      </w:r>
      <w:hyperlink r:id="rId16" w:history="1">
        <w:r w:rsidRPr="00BF0C9B">
          <w:rPr>
            <w:rStyle w:val="Hyperlink"/>
            <w:rFonts w:cs="Arial"/>
          </w:rPr>
          <w:t>http://uniteachingcriteria.edu.au/</w:t>
        </w:r>
      </w:hyperlink>
      <w:r w:rsidRPr="00BF0C9B">
        <w:rPr>
          <w:rFonts w:cs="Arial"/>
        </w:rPr>
        <w:t>.</w:t>
      </w:r>
    </w:p>
    <w:p w14:paraId="7AF7480C" w14:textId="77777777" w:rsidR="00BF0C9B" w:rsidRPr="00BF0C9B" w:rsidRDefault="00BF0C9B" w:rsidP="00BF0C9B">
      <w:pPr>
        <w:pStyle w:val="NoSpacing"/>
        <w:ind w:left="709" w:hanging="709"/>
        <w:jc w:val="both"/>
        <w:rPr>
          <w:rFonts w:cs="Arial"/>
        </w:rPr>
      </w:pPr>
      <w:proofErr w:type="spellStart"/>
      <w:r w:rsidRPr="00BF0C9B">
        <w:rPr>
          <w:rFonts w:cs="Arial"/>
        </w:rPr>
        <w:t>Trigwell</w:t>
      </w:r>
      <w:proofErr w:type="spellEnd"/>
      <w:r w:rsidRPr="00BF0C9B">
        <w:rPr>
          <w:rFonts w:cs="Arial"/>
        </w:rPr>
        <w:t xml:space="preserve">, K., E. Martin, J. Benjamin, M. Prosser. 2000. Scholarship of Teaching: A Model.  </w:t>
      </w:r>
      <w:r w:rsidRPr="00BF0C9B">
        <w:rPr>
          <w:rFonts w:cs="Arial"/>
          <w:i/>
        </w:rPr>
        <w:t>Highe</w:t>
      </w:r>
      <w:r w:rsidRPr="00BF0C9B">
        <w:rPr>
          <w:rFonts w:cs="Arial"/>
        </w:rPr>
        <w:t xml:space="preserve">r </w:t>
      </w:r>
      <w:r w:rsidRPr="00BF0C9B">
        <w:rPr>
          <w:rFonts w:cs="Arial"/>
          <w:i/>
        </w:rPr>
        <w:t>Education Research and Development</w:t>
      </w:r>
      <w:r w:rsidRPr="00BF0C9B">
        <w:rPr>
          <w:rFonts w:cs="Arial"/>
        </w:rPr>
        <w:t>. 19: 155-168.</w:t>
      </w:r>
    </w:p>
    <w:p w14:paraId="7B93F349" w14:textId="77777777" w:rsidR="00BF0C9B" w:rsidRPr="00BF0C9B" w:rsidRDefault="00BF0C9B" w:rsidP="00BF0C9B">
      <w:pPr>
        <w:pStyle w:val="NoSpacing"/>
        <w:ind w:left="709" w:hanging="709"/>
        <w:jc w:val="both"/>
        <w:rPr>
          <w:rFonts w:cs="Arial"/>
          <w:color w:val="000000"/>
        </w:rPr>
      </w:pPr>
      <w:r w:rsidRPr="00BF0C9B">
        <w:rPr>
          <w:rFonts w:cs="Arial"/>
          <w:color w:val="000000"/>
        </w:rPr>
        <w:t xml:space="preserve">University of Queensland. 2007. </w:t>
      </w:r>
      <w:r w:rsidRPr="00BF0C9B">
        <w:rPr>
          <w:rFonts w:cs="Arial"/>
          <w:i/>
          <w:color w:val="000000"/>
        </w:rPr>
        <w:t>Working Party on the Diversity of Academic Roles</w:t>
      </w:r>
      <w:r w:rsidRPr="00BF0C9B">
        <w:rPr>
          <w:rFonts w:cs="Arial"/>
          <w:color w:val="000000"/>
        </w:rPr>
        <w:t>. St Lucia: UQ.</w:t>
      </w:r>
    </w:p>
    <w:p w14:paraId="75E92C54" w14:textId="77777777" w:rsidR="00BF0C9B" w:rsidRPr="00BF0C9B" w:rsidRDefault="00BF0C9B" w:rsidP="00BF0C9B">
      <w:pPr>
        <w:spacing w:after="0" w:line="276" w:lineRule="auto"/>
        <w:ind w:left="709" w:hanging="709"/>
        <w:jc w:val="both"/>
      </w:pPr>
      <w:r w:rsidRPr="00BF0C9B">
        <w:t xml:space="preserve">Soh, </w:t>
      </w:r>
      <w:proofErr w:type="spellStart"/>
      <w:r w:rsidRPr="00BF0C9B">
        <w:t>Kaycheng</w:t>
      </w:r>
      <w:proofErr w:type="spellEnd"/>
      <w:r w:rsidRPr="00BF0C9B">
        <w:t xml:space="preserve">. 2017. The seven deadly sins of </w:t>
      </w:r>
      <w:proofErr w:type="spellStart"/>
      <w:r w:rsidRPr="00BF0C9B">
        <w:t>of</w:t>
      </w:r>
      <w:proofErr w:type="spellEnd"/>
      <w:r w:rsidRPr="00BF0C9B">
        <w:t xml:space="preserve"> world university ranking: a summary from several papers. </w:t>
      </w:r>
      <w:r w:rsidRPr="00BF0C9B">
        <w:rPr>
          <w:i/>
        </w:rPr>
        <w:t>Journal of Higher Education Policy and Management</w:t>
      </w:r>
      <w:r w:rsidRPr="00BF0C9B">
        <w:t>. 39 (1): 104-115.</w:t>
      </w:r>
    </w:p>
    <w:p w14:paraId="0D56999D" w14:textId="77777777" w:rsidR="00BF0C9B" w:rsidRPr="00BF0C9B" w:rsidRDefault="00BF0C9B" w:rsidP="00BF0C9B">
      <w:pPr>
        <w:spacing w:after="0" w:line="276" w:lineRule="auto"/>
        <w:ind w:left="709" w:hanging="709"/>
        <w:jc w:val="both"/>
      </w:pPr>
      <w:r w:rsidRPr="00BF0C9B">
        <w:t xml:space="preserve">Munro, Kelsey. 2016. Universities clamour for top rank. </w:t>
      </w:r>
      <w:r w:rsidRPr="00BF0C9B">
        <w:rPr>
          <w:i/>
        </w:rPr>
        <w:t>The Sydney Morning Herald</w:t>
      </w:r>
      <w:r w:rsidRPr="00BF0C9B">
        <w:t>. 29 August, p.11.</w:t>
      </w:r>
    </w:p>
    <w:p w14:paraId="4E4FE2B1" w14:textId="77777777" w:rsidR="00BF0C9B" w:rsidRPr="00BF0C9B" w:rsidRDefault="00BF0C9B" w:rsidP="00BF0C9B">
      <w:pPr>
        <w:spacing w:after="0" w:line="276" w:lineRule="auto"/>
        <w:ind w:left="709" w:hanging="709"/>
        <w:jc w:val="both"/>
      </w:pPr>
      <w:proofErr w:type="spellStart"/>
      <w:r w:rsidRPr="00BF0C9B">
        <w:t>Sotirova</w:t>
      </w:r>
      <w:proofErr w:type="spellEnd"/>
      <w:r w:rsidRPr="00BF0C9B">
        <w:t xml:space="preserve">, Evdokia, A.G. Shannon. 2015. Application of </w:t>
      </w:r>
      <w:proofErr w:type="spellStart"/>
      <w:r w:rsidRPr="00BF0C9B">
        <w:t>InterCriteria</w:t>
      </w:r>
      <w:proofErr w:type="spellEnd"/>
      <w:r w:rsidRPr="00BF0C9B">
        <w:t xml:space="preserve"> Decision Making to the rankings of Australian universities.</w:t>
      </w:r>
      <w:r w:rsidRPr="00BF0C9B">
        <w:rPr>
          <w:i/>
        </w:rPr>
        <w:t xml:space="preserve"> Notes on Intuitionistic Fuzzy Sets</w:t>
      </w:r>
      <w:r w:rsidRPr="00BF0C9B">
        <w:t>. 21 (4): 136-142.</w:t>
      </w:r>
    </w:p>
    <w:p w14:paraId="69B88527" w14:textId="77777777" w:rsidR="00BF0C9B" w:rsidRPr="00BF0C9B" w:rsidRDefault="00BF0C9B" w:rsidP="00BF0C9B">
      <w:pPr>
        <w:pStyle w:val="NoSpacing"/>
        <w:ind w:left="709" w:hanging="709"/>
        <w:jc w:val="both"/>
        <w:rPr>
          <w:rFonts w:cs="Arial"/>
          <w:i/>
        </w:rPr>
      </w:pPr>
      <w:r w:rsidRPr="00BF0C9B">
        <w:rPr>
          <w:rFonts w:cs="Arial"/>
        </w:rPr>
        <w:t xml:space="preserve">Nelson, Adam R., Ian P. Wei (eds). 2012. </w:t>
      </w:r>
      <w:r w:rsidRPr="00BF0C9B">
        <w:rPr>
          <w:rFonts w:cs="Arial"/>
          <w:i/>
        </w:rPr>
        <w:t>The Global University: Past, Present and Future Perspectives</w:t>
      </w:r>
      <w:r w:rsidRPr="00BF0C9B">
        <w:rPr>
          <w:rFonts w:cs="Arial"/>
        </w:rPr>
        <w:t>. New York: Palgrave Macmillan, pp,6,7.</w:t>
      </w:r>
    </w:p>
    <w:p w14:paraId="66D915BD" w14:textId="77777777" w:rsidR="00BF0C9B" w:rsidRPr="00BF0C9B" w:rsidRDefault="00BF0C9B" w:rsidP="00BF0C9B">
      <w:pPr>
        <w:spacing w:after="0" w:line="276" w:lineRule="auto"/>
        <w:ind w:left="709" w:hanging="709"/>
        <w:jc w:val="both"/>
      </w:pPr>
      <w:r w:rsidRPr="00BF0C9B">
        <w:t xml:space="preserve">Coulthard, Darryl, Susan Keller. 2016. Publication anxiety, quality, and journal rankings: researcher views. </w:t>
      </w:r>
      <w:r w:rsidRPr="00BF0C9B">
        <w:rPr>
          <w:i/>
        </w:rPr>
        <w:t xml:space="preserve">Australasian Journal of Information Systems. </w:t>
      </w:r>
      <w:r w:rsidRPr="00BF0C9B">
        <w:t>Volume 20: [</w:t>
      </w:r>
      <w:hyperlink r:id="rId17" w:history="1">
        <w:r w:rsidRPr="00BF0C9B">
          <w:rPr>
            <w:rStyle w:val="Hyperlink"/>
          </w:rPr>
          <w:t>http://dx.doi.org/10.3127/ajis.v20i0.1262</w:t>
        </w:r>
      </w:hyperlink>
      <w:r w:rsidRPr="00BF0C9B">
        <w:t>].</w:t>
      </w:r>
    </w:p>
    <w:p w14:paraId="3123D511" w14:textId="77777777" w:rsidR="00BF0C9B" w:rsidRPr="00BF0C9B" w:rsidRDefault="00BF0C9B" w:rsidP="00BF0C9B">
      <w:pPr>
        <w:spacing w:after="0" w:line="276" w:lineRule="auto"/>
        <w:ind w:left="709" w:hanging="709"/>
        <w:jc w:val="both"/>
      </w:pPr>
      <w:r w:rsidRPr="00BF0C9B">
        <w:t xml:space="preserve">Taylor, Jerry. 2001. </w:t>
      </w:r>
      <w:r w:rsidRPr="00BF0C9B">
        <w:rPr>
          <w:i/>
        </w:rPr>
        <w:t>Last Out: 4RAR(NZ) (ANZAC) Battalion’s Second Tour in Vietnam.</w:t>
      </w:r>
      <w:r w:rsidRPr="00BF0C9B">
        <w:t xml:space="preserve"> </w:t>
      </w:r>
      <w:proofErr w:type="spellStart"/>
      <w:r w:rsidRPr="00BF0C9B">
        <w:t>Crows</w:t>
      </w:r>
      <w:proofErr w:type="spellEnd"/>
      <w:r w:rsidRPr="00BF0C9B">
        <w:t xml:space="preserve"> Nest, NSW: Allen &amp; Unwin, pp.36-40.</w:t>
      </w:r>
    </w:p>
    <w:p w14:paraId="46B1CC1C" w14:textId="77777777" w:rsidR="00BF0C9B" w:rsidRPr="00BF0C9B" w:rsidRDefault="00BF0C9B" w:rsidP="00BF0C9B">
      <w:pPr>
        <w:pStyle w:val="NoSpacing"/>
        <w:ind w:left="709" w:hanging="709"/>
        <w:jc w:val="both"/>
        <w:rPr>
          <w:rFonts w:cs="Arial"/>
          <w:i/>
        </w:rPr>
      </w:pPr>
      <w:r w:rsidRPr="00BF0C9B">
        <w:rPr>
          <w:rFonts w:cs="Arial"/>
        </w:rPr>
        <w:t xml:space="preserve">Davis, Michael Warren. 2016. Voices in the Darkness. </w:t>
      </w:r>
      <w:r w:rsidRPr="00BF0C9B">
        <w:rPr>
          <w:rFonts w:cs="Arial"/>
          <w:i/>
        </w:rPr>
        <w:t>Quadrant</w:t>
      </w:r>
      <w:r w:rsidRPr="00BF0C9B">
        <w:rPr>
          <w:rFonts w:cs="Arial"/>
        </w:rPr>
        <w:t>. 60 (12): 67-69.</w:t>
      </w:r>
    </w:p>
    <w:p w14:paraId="2DF02D55" w14:textId="77777777" w:rsidR="00BF0C9B" w:rsidRPr="00BF0C9B" w:rsidRDefault="00BF0C9B" w:rsidP="00BF0C9B">
      <w:pPr>
        <w:pStyle w:val="NoSpacing"/>
        <w:ind w:left="709" w:hanging="709"/>
        <w:jc w:val="both"/>
        <w:rPr>
          <w:rFonts w:cs="Arial"/>
          <w:i/>
        </w:rPr>
      </w:pPr>
      <w:r w:rsidRPr="00F13693">
        <w:rPr>
          <w:rFonts w:cs="Arial"/>
        </w:rPr>
        <w:t>Shannon</w:t>
      </w:r>
      <w:r w:rsidRPr="00BF0C9B">
        <w:rPr>
          <w:rFonts w:cs="Arial"/>
        </w:rPr>
        <w:t xml:space="preserve">, A.G., B.E. Clark. 1979. Mathematical Attitudes of Some Polytechnic Students. </w:t>
      </w:r>
      <w:r w:rsidRPr="00BF0C9B">
        <w:rPr>
          <w:rFonts w:cs="Arial"/>
          <w:i/>
        </w:rPr>
        <w:t>British Journal of Educational Technology</w:t>
      </w:r>
      <w:r w:rsidRPr="00BF0C9B">
        <w:rPr>
          <w:rFonts w:cs="Arial"/>
        </w:rPr>
        <w:t>. 10: 59-68.</w:t>
      </w:r>
    </w:p>
    <w:p w14:paraId="7207E394" w14:textId="77777777" w:rsidR="00BF0C9B" w:rsidRPr="00BF0C9B" w:rsidRDefault="00BF0C9B" w:rsidP="00BF0C9B">
      <w:pPr>
        <w:spacing w:after="0" w:line="240" w:lineRule="auto"/>
        <w:ind w:left="709" w:hanging="709"/>
        <w:jc w:val="both"/>
        <w:rPr>
          <w:rFonts w:eastAsia="Times New Roman" w:cs="Arial"/>
        </w:rPr>
      </w:pPr>
      <w:proofErr w:type="spellStart"/>
      <w:r w:rsidRPr="00BF0C9B">
        <w:rPr>
          <w:rFonts w:eastAsia="Times New Roman" w:cs="Arial"/>
        </w:rPr>
        <w:t>Glassick</w:t>
      </w:r>
      <w:proofErr w:type="spellEnd"/>
      <w:r w:rsidRPr="00BF0C9B">
        <w:rPr>
          <w:rFonts w:eastAsia="Times New Roman" w:cs="Arial"/>
        </w:rPr>
        <w:t xml:space="preserve">, Charles E.; Mary Taylor Huber, Gene I. </w:t>
      </w:r>
      <w:proofErr w:type="spellStart"/>
      <w:r w:rsidRPr="00BF0C9B">
        <w:rPr>
          <w:rFonts w:eastAsia="Times New Roman" w:cs="Arial"/>
        </w:rPr>
        <w:t>Maeroff</w:t>
      </w:r>
      <w:proofErr w:type="spellEnd"/>
      <w:r w:rsidRPr="00BF0C9B">
        <w:rPr>
          <w:rFonts w:eastAsia="Times New Roman" w:cs="Arial"/>
        </w:rPr>
        <w:t xml:space="preserve">. 1997. </w:t>
      </w:r>
      <w:r w:rsidRPr="00BF0C9B">
        <w:rPr>
          <w:rFonts w:eastAsia="Times New Roman" w:cs="Arial"/>
          <w:i/>
        </w:rPr>
        <w:t xml:space="preserve">Scholarship Assessed: Evaluation of the Professoriate. </w:t>
      </w:r>
      <w:r w:rsidRPr="00BF0C9B">
        <w:rPr>
          <w:rFonts w:eastAsia="Times New Roman" w:cs="Arial"/>
        </w:rPr>
        <w:t xml:space="preserve">San Francisco: Jossey-Bass. </w:t>
      </w:r>
    </w:p>
    <w:p w14:paraId="33B28C78" w14:textId="77777777" w:rsidR="00BF0C9B" w:rsidRPr="00BF0C9B" w:rsidRDefault="00BF0C9B" w:rsidP="00BF0C9B">
      <w:pPr>
        <w:pStyle w:val="NoSpacing"/>
        <w:ind w:left="709" w:hanging="709"/>
        <w:jc w:val="both"/>
        <w:rPr>
          <w:rFonts w:cs="Arial"/>
          <w:color w:val="000000"/>
        </w:rPr>
      </w:pPr>
      <w:r w:rsidRPr="00BF0C9B">
        <w:rPr>
          <w:rFonts w:cs="Arial"/>
          <w:color w:val="000000"/>
        </w:rPr>
        <w:t xml:space="preserve">Pelikan, Jaroslav. 1992. </w:t>
      </w:r>
      <w:r w:rsidRPr="00BF0C9B">
        <w:rPr>
          <w:rFonts w:cs="Arial"/>
          <w:i/>
          <w:color w:val="000000"/>
        </w:rPr>
        <w:t xml:space="preserve">The Idea of a University: A </w:t>
      </w:r>
      <w:proofErr w:type="spellStart"/>
      <w:r w:rsidRPr="00BF0C9B">
        <w:rPr>
          <w:rFonts w:cs="Arial"/>
          <w:i/>
          <w:color w:val="000000"/>
        </w:rPr>
        <w:t>Reexamination</w:t>
      </w:r>
      <w:proofErr w:type="spellEnd"/>
      <w:r w:rsidRPr="00BF0C9B">
        <w:rPr>
          <w:rFonts w:cs="Arial"/>
          <w:color w:val="000000"/>
        </w:rPr>
        <w:t xml:space="preserve">. </w:t>
      </w:r>
      <w:r w:rsidRPr="00BF0C9B">
        <w:rPr>
          <w:rFonts w:cs="Arial"/>
        </w:rPr>
        <w:t>New Haven and London: Yale University Press.</w:t>
      </w:r>
    </w:p>
    <w:p w14:paraId="63C39A0E" w14:textId="77777777" w:rsidR="00BF0C9B" w:rsidRPr="00BF0C9B" w:rsidRDefault="00BF0C9B" w:rsidP="00BF0C9B">
      <w:pPr>
        <w:pStyle w:val="NoSpacing"/>
        <w:ind w:left="709" w:hanging="709"/>
        <w:jc w:val="both"/>
        <w:rPr>
          <w:rFonts w:cs="Arial"/>
          <w:color w:val="000000"/>
        </w:rPr>
      </w:pPr>
      <w:r w:rsidRPr="00BF0C9B">
        <w:rPr>
          <w:rFonts w:cs="Arial"/>
        </w:rPr>
        <w:t xml:space="preserve">Zimmerman, Linda. 1998. The Long Shadow of Cardinal Newman: New Ideas on the University. </w:t>
      </w:r>
      <w:r w:rsidRPr="00BF0C9B">
        <w:rPr>
          <w:rFonts w:cs="Arial"/>
          <w:i/>
        </w:rPr>
        <w:t>Stanford Electronic Humanities Review</w:t>
      </w:r>
      <w:r w:rsidRPr="00BF0C9B">
        <w:rPr>
          <w:rFonts w:cs="Arial"/>
        </w:rPr>
        <w:t>. 6(1): review 5.</w:t>
      </w:r>
    </w:p>
    <w:p w14:paraId="61F9E958" w14:textId="77777777" w:rsidR="00BF0C9B" w:rsidRPr="00BF0C9B" w:rsidRDefault="00BF0C9B" w:rsidP="00BF0C9B">
      <w:pPr>
        <w:pStyle w:val="NoSpacing"/>
        <w:ind w:left="709" w:hanging="709"/>
        <w:jc w:val="both"/>
        <w:rPr>
          <w:rFonts w:cs="Arial"/>
          <w:color w:val="000000"/>
        </w:rPr>
      </w:pPr>
      <w:proofErr w:type="spellStart"/>
      <w:r w:rsidRPr="00BF0C9B">
        <w:rPr>
          <w:rFonts w:cs="Arial"/>
          <w:color w:val="000000"/>
        </w:rPr>
        <w:t>Trigwell</w:t>
      </w:r>
      <w:proofErr w:type="spellEnd"/>
      <w:r w:rsidRPr="00BF0C9B">
        <w:rPr>
          <w:rFonts w:cs="Arial"/>
          <w:color w:val="000000"/>
        </w:rPr>
        <w:t xml:space="preserve">, Keith, Tony Shannon, Russell Maurizi. 1997. </w:t>
      </w:r>
      <w:r w:rsidRPr="00BF0C9B">
        <w:rPr>
          <w:rFonts w:cs="Arial"/>
          <w:i/>
          <w:color w:val="000000"/>
        </w:rPr>
        <w:t xml:space="preserve">Research-coursework Doctoral Programs in Australian Universities. </w:t>
      </w:r>
      <w:r w:rsidRPr="00BF0C9B">
        <w:rPr>
          <w:rFonts w:cs="Arial"/>
          <w:color w:val="000000"/>
        </w:rPr>
        <w:t>Canberra, ACT: Australian Government Publishing Service.</w:t>
      </w:r>
    </w:p>
    <w:p w14:paraId="4B79C224" w14:textId="77777777" w:rsidR="00BF0C9B" w:rsidRPr="00BF0C9B" w:rsidRDefault="00BF0C9B" w:rsidP="00BF0C9B">
      <w:pPr>
        <w:spacing w:after="200" w:line="276" w:lineRule="auto"/>
        <w:ind w:left="709" w:hanging="709"/>
        <w:jc w:val="both"/>
      </w:pPr>
      <w:r w:rsidRPr="00BF0C9B">
        <w:t xml:space="preserve">Shannon, Anthony G., </w:t>
      </w:r>
      <w:proofErr w:type="spellStart"/>
      <w:r w:rsidRPr="00BF0C9B">
        <w:t>Beloslva</w:t>
      </w:r>
      <w:proofErr w:type="spellEnd"/>
      <w:r w:rsidRPr="00BF0C9B">
        <w:t xml:space="preserve"> </w:t>
      </w:r>
      <w:proofErr w:type="spellStart"/>
      <w:r w:rsidRPr="00BF0C9B">
        <w:t>Riecan</w:t>
      </w:r>
      <w:proofErr w:type="spellEnd"/>
      <w:r w:rsidRPr="00BF0C9B">
        <w:t xml:space="preserve">, Evdokia </w:t>
      </w:r>
      <w:proofErr w:type="spellStart"/>
      <w:r w:rsidRPr="00BF0C9B">
        <w:t>Sotirova</w:t>
      </w:r>
      <w:proofErr w:type="spellEnd"/>
      <w:r w:rsidRPr="00BF0C9B">
        <w:t xml:space="preserve">, </w:t>
      </w:r>
      <w:proofErr w:type="spellStart"/>
      <w:r w:rsidRPr="00BF0C9B">
        <w:t>Krassimr</w:t>
      </w:r>
      <w:proofErr w:type="spellEnd"/>
      <w:r w:rsidRPr="00BF0C9B">
        <w:t xml:space="preserve"> Atanassov, Maciej Krawczak, Pedro Melo-Minto, Rangasamy Parvathi, </w:t>
      </w:r>
      <w:proofErr w:type="spellStart"/>
      <w:r w:rsidRPr="00BF0C9B">
        <w:t>Taekyun</w:t>
      </w:r>
      <w:proofErr w:type="spellEnd"/>
      <w:r w:rsidRPr="00BF0C9B">
        <w:t xml:space="preserve"> Kim. 2017. Generalized net models of promotion and doctoral candidature. In Vassil </w:t>
      </w:r>
      <w:proofErr w:type="spellStart"/>
      <w:r w:rsidRPr="00BF0C9B">
        <w:t>Sgurev</w:t>
      </w:r>
      <w:proofErr w:type="spellEnd"/>
      <w:r w:rsidRPr="00BF0C9B">
        <w:t xml:space="preserve">, Ronald R. Yager, Janusz </w:t>
      </w:r>
      <w:proofErr w:type="spellStart"/>
      <w:r w:rsidRPr="00BF0C9B">
        <w:t>Kacprzyk</w:t>
      </w:r>
      <w:proofErr w:type="spellEnd"/>
      <w:r w:rsidRPr="00BF0C9B">
        <w:t xml:space="preserve">, Krassimir T Atanassov (eds), </w:t>
      </w:r>
      <w:r w:rsidRPr="00BF0C9B">
        <w:rPr>
          <w:i/>
        </w:rPr>
        <w:t>Recent Contributions in Intelligent Systems</w:t>
      </w:r>
      <w:r w:rsidRPr="00BF0C9B">
        <w:t>. Switzerland: Springer, pp.263- 277.</w:t>
      </w:r>
    </w:p>
    <w:p w14:paraId="1919AB82" w14:textId="77777777" w:rsidR="00BF0C9B" w:rsidRPr="00BF0C9B" w:rsidRDefault="00BF0C9B" w:rsidP="00BF0C9B">
      <w:pPr>
        <w:spacing w:after="200" w:line="276" w:lineRule="auto"/>
        <w:ind w:left="709" w:hanging="709"/>
        <w:jc w:val="both"/>
      </w:pPr>
      <w:r w:rsidRPr="00BF0C9B">
        <w:t xml:space="preserve">Coates, Hamish. 2016. </w:t>
      </w:r>
      <w:r w:rsidRPr="00BF0C9B">
        <w:rPr>
          <w:i/>
        </w:rPr>
        <w:t>The Market for Learning: Leading Transparent Higher Education</w:t>
      </w:r>
      <w:r w:rsidRPr="00BF0C9B">
        <w:t>. Singapore: Springer, pp.35,165.</w:t>
      </w:r>
    </w:p>
    <w:p w14:paraId="38C0A200" w14:textId="77777777" w:rsidR="000F1764" w:rsidRDefault="000F1764" w:rsidP="000F1764">
      <w:pPr>
        <w:pStyle w:val="BodyText3"/>
        <w:jc w:val="center"/>
        <w:rPr>
          <w:rFonts w:ascii="Calibri" w:hAnsi="Calibri" w:cs="Calibri"/>
          <w:b/>
          <w:color w:val="0070C0"/>
          <w:sz w:val="8"/>
          <w:szCs w:val="8"/>
        </w:rPr>
      </w:pPr>
    </w:p>
    <w:sectPr w:rsidR="000F1764" w:rsidSect="006A56BE">
      <w:footerReference w:type="default" r:id="rId18"/>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0AA3" w14:textId="77777777" w:rsidR="00927D82" w:rsidRDefault="00927D82" w:rsidP="00BE1FA9">
      <w:pPr>
        <w:spacing w:after="0" w:line="240" w:lineRule="auto"/>
      </w:pPr>
      <w:r>
        <w:separator/>
      </w:r>
    </w:p>
  </w:endnote>
  <w:endnote w:type="continuationSeparator" w:id="0">
    <w:p w14:paraId="6492A184" w14:textId="77777777" w:rsidR="00927D82" w:rsidRDefault="00927D82" w:rsidP="00BE1FA9">
      <w:pPr>
        <w:spacing w:after="0" w:line="240" w:lineRule="auto"/>
      </w:pPr>
      <w:r>
        <w:continuationSeparator/>
      </w:r>
    </w:p>
  </w:endnote>
  <w:endnote w:id="1">
    <w:p w14:paraId="0B7A5BE6" w14:textId="77777777" w:rsidR="00BF0C9B" w:rsidRPr="00BF0C9B" w:rsidRDefault="00BF0C9B" w:rsidP="00B67E39">
      <w:pPr>
        <w:pStyle w:val="EndnoteText"/>
        <w:rPr>
          <w:sz w:val="22"/>
          <w:szCs w:val="22"/>
        </w:rPr>
      </w:pPr>
      <w:r w:rsidRPr="00BF0C9B">
        <w:rPr>
          <w:rStyle w:val="EndnoteReference"/>
          <w:sz w:val="22"/>
          <w:szCs w:val="22"/>
        </w:rPr>
        <w:endnoteRef/>
      </w:r>
      <w:r w:rsidRPr="00BF0C9B">
        <w:rPr>
          <w:sz w:val="22"/>
          <w:szCs w:val="22"/>
        </w:rPr>
        <w:t xml:space="preserve"> RCAF. 1965. </w:t>
      </w:r>
      <w:r w:rsidRPr="00BF0C9B">
        <w:rPr>
          <w:i/>
          <w:iCs/>
          <w:sz w:val="22"/>
          <w:szCs w:val="22"/>
        </w:rPr>
        <w:t xml:space="preserve">5BX Plan for Physical Fitness. </w:t>
      </w:r>
      <w:r w:rsidRPr="00BF0C9B">
        <w:rPr>
          <w:sz w:val="22"/>
          <w:szCs w:val="22"/>
        </w:rPr>
        <w:t>Ottawa: Royal Canadian Air Force Pamphlet 30/1.</w:t>
      </w:r>
    </w:p>
  </w:endnote>
  <w:endnote w:id="2">
    <w:p w14:paraId="70243C93" w14:textId="77777777" w:rsidR="00BF0C9B" w:rsidRPr="00E77006" w:rsidRDefault="00BF0C9B" w:rsidP="00B67E39">
      <w:pPr>
        <w:spacing w:after="0" w:line="240" w:lineRule="auto"/>
        <w:jc w:val="both"/>
      </w:pPr>
      <w:r w:rsidRPr="00BF0C9B">
        <w:rPr>
          <w:rStyle w:val="EndnoteReference"/>
        </w:rPr>
        <w:endnoteRef/>
      </w:r>
      <w:r w:rsidRPr="00BF0C9B">
        <w:t xml:space="preserve"> Smith, Vincent Edward. 1960. </w:t>
      </w:r>
      <w:r w:rsidRPr="00BF0C9B">
        <w:rPr>
          <w:i/>
          <w:iCs/>
        </w:rPr>
        <w:t xml:space="preserve">The School Examined: Its Aim and Content. </w:t>
      </w:r>
      <w:r w:rsidRPr="00BF0C9B">
        <w:t>Milwaukee, WI: Bruce.</w:t>
      </w:r>
      <w:r>
        <w:t xml:space="preserve"> </w:t>
      </w:r>
    </w:p>
  </w:endnote>
  <w:endnote w:id="3">
    <w:p w14:paraId="5DA7A9B8" w14:textId="1DAC8822" w:rsidR="004F52C2" w:rsidRPr="00B67E39" w:rsidRDefault="004F52C2" w:rsidP="00B67E39">
      <w:pPr>
        <w:pStyle w:val="NoSpacing"/>
        <w:jc w:val="both"/>
        <w:rPr>
          <w:rFonts w:cs="Arial"/>
        </w:rPr>
      </w:pPr>
      <w:r>
        <w:rPr>
          <w:rStyle w:val="EndnoteReference"/>
        </w:rPr>
        <w:endnoteRef/>
      </w:r>
      <w:r>
        <w:t xml:space="preserve"> </w:t>
      </w:r>
      <w:r w:rsidR="00A62C26" w:rsidRPr="00BF0C9B">
        <w:rPr>
          <w:rFonts w:cs="Arial"/>
        </w:rPr>
        <w:t xml:space="preserve">Boyer, E. L. 1997. </w:t>
      </w:r>
      <w:r w:rsidR="00A62C26" w:rsidRPr="00BF0C9B">
        <w:rPr>
          <w:rFonts w:cs="Arial"/>
          <w:i/>
        </w:rPr>
        <w:t>Scholarship Reconsidered: Priorities of the Professoriate</w:t>
      </w:r>
      <w:r w:rsidR="00A62C26" w:rsidRPr="00BF0C9B">
        <w:rPr>
          <w:rFonts w:cs="Arial"/>
        </w:rPr>
        <w:t xml:space="preserve">. San Francisco: Jossey-Bass. </w:t>
      </w:r>
    </w:p>
  </w:endnote>
  <w:endnote w:id="4">
    <w:p w14:paraId="66F9FEB2" w14:textId="7EEF4030" w:rsidR="00A62C26" w:rsidRPr="00B67E39" w:rsidRDefault="00A62C26" w:rsidP="00B67E39">
      <w:pPr>
        <w:pStyle w:val="FootnoteText"/>
        <w:jc w:val="both"/>
        <w:rPr>
          <w:rFonts w:ascii="Calibri" w:hAnsi="Calibri"/>
          <w:sz w:val="22"/>
          <w:szCs w:val="22"/>
        </w:rPr>
      </w:pPr>
      <w:r>
        <w:rPr>
          <w:rStyle w:val="EndnoteReference"/>
        </w:rPr>
        <w:endnoteRef/>
      </w:r>
      <w:r>
        <w:t xml:space="preserve"> </w:t>
      </w:r>
      <w:r w:rsidRPr="00BF0C9B">
        <w:rPr>
          <w:rFonts w:ascii="Calibri" w:hAnsi="Calibri"/>
          <w:sz w:val="22"/>
          <w:szCs w:val="22"/>
        </w:rPr>
        <w:t xml:space="preserve">Boyer, Ernest L. 2016. </w:t>
      </w:r>
      <w:r w:rsidRPr="00BF0C9B">
        <w:rPr>
          <w:rFonts w:ascii="Calibri" w:hAnsi="Calibri"/>
          <w:i/>
          <w:sz w:val="22"/>
          <w:szCs w:val="22"/>
        </w:rPr>
        <w:t>Scholarship Reconsidered: Priorities of the Professoriate</w:t>
      </w:r>
      <w:r w:rsidRPr="00BF0C9B">
        <w:rPr>
          <w:rFonts w:ascii="Calibri" w:hAnsi="Calibri"/>
          <w:sz w:val="22"/>
          <w:szCs w:val="22"/>
        </w:rPr>
        <w:t>. [Updated and Expanded by Drew Moser, Todd C Ream, John M Braxton and Associates.] The Carnegie Foundation for the Advancement of Teaching. San Francisco, CA: Jossey Bass.</w:t>
      </w:r>
    </w:p>
  </w:endnote>
  <w:endnote w:id="5">
    <w:p w14:paraId="2239CE33" w14:textId="3B7E6859" w:rsidR="00A62C26" w:rsidRPr="00B67E39" w:rsidRDefault="00A62C26" w:rsidP="00B67E39">
      <w:pPr>
        <w:pStyle w:val="FootnoteText"/>
        <w:jc w:val="both"/>
        <w:rPr>
          <w:rFonts w:ascii="Calibri" w:hAnsi="Calibri"/>
          <w:sz w:val="22"/>
          <w:szCs w:val="22"/>
        </w:rPr>
      </w:pPr>
      <w:r>
        <w:rPr>
          <w:rStyle w:val="EndnoteReference"/>
        </w:rPr>
        <w:endnoteRef/>
      </w:r>
      <w:r>
        <w:t xml:space="preserve"> </w:t>
      </w:r>
      <w:r w:rsidRPr="00BF0C9B">
        <w:rPr>
          <w:rFonts w:ascii="Calibri" w:hAnsi="Calibri"/>
          <w:sz w:val="22"/>
          <w:szCs w:val="22"/>
        </w:rPr>
        <w:t xml:space="preserve">Boyer, Ernest L. 2016. </w:t>
      </w:r>
      <w:r w:rsidRPr="00BF0C9B">
        <w:rPr>
          <w:rFonts w:ascii="Calibri" w:hAnsi="Calibri"/>
          <w:i/>
          <w:sz w:val="22"/>
          <w:szCs w:val="22"/>
        </w:rPr>
        <w:t>Scholarship Reconsidered: Priorities of the Professoriate</w:t>
      </w:r>
      <w:r w:rsidRPr="00BF0C9B">
        <w:rPr>
          <w:rFonts w:ascii="Calibri" w:hAnsi="Calibri"/>
          <w:sz w:val="22"/>
          <w:szCs w:val="22"/>
        </w:rPr>
        <w:t>. [Updated and Expanded by Drew Moser, Todd C Ream, John M Braxton and Associates.] The Carnegie Foundation for the Advancement of Teaching. San Francisco, CA: Jossey Bass.</w:t>
      </w:r>
    </w:p>
  </w:endnote>
  <w:endnote w:id="6">
    <w:p w14:paraId="371EB556" w14:textId="7B76025C" w:rsidR="00A62C26" w:rsidRPr="00B67E39" w:rsidRDefault="00A62C26" w:rsidP="00B67E39">
      <w:pPr>
        <w:pStyle w:val="NoSpacing"/>
        <w:jc w:val="both"/>
        <w:rPr>
          <w:rFonts w:cs="Arial"/>
        </w:rPr>
      </w:pPr>
      <w:r>
        <w:rPr>
          <w:rStyle w:val="EndnoteReference"/>
        </w:rPr>
        <w:endnoteRef/>
      </w:r>
      <w:r>
        <w:t xml:space="preserve"> </w:t>
      </w:r>
      <w:r w:rsidRPr="00BF0C9B">
        <w:rPr>
          <w:rFonts w:cs="Arial"/>
        </w:rPr>
        <w:t xml:space="preserve">Newman, John Henry (author), Frank M Turner (editor). 1996. </w:t>
      </w:r>
      <w:r w:rsidRPr="00BF0C9B">
        <w:rPr>
          <w:rFonts w:cs="Arial"/>
          <w:i/>
        </w:rPr>
        <w:t>The Idea of a University</w:t>
      </w:r>
      <w:r w:rsidRPr="00BF0C9B">
        <w:rPr>
          <w:rFonts w:cs="Arial"/>
        </w:rPr>
        <w:t>. (Other contributors: Martha McMackin Garland, Sara Castro-</w:t>
      </w:r>
      <w:proofErr w:type="spellStart"/>
      <w:r w:rsidRPr="00BF0C9B">
        <w:rPr>
          <w:rFonts w:cs="Arial"/>
        </w:rPr>
        <w:t>Klarén</w:t>
      </w:r>
      <w:proofErr w:type="spellEnd"/>
      <w:r w:rsidRPr="00BF0C9B">
        <w:rPr>
          <w:rFonts w:cs="Arial"/>
        </w:rPr>
        <w:t xml:space="preserve">, George P Landow, </w:t>
      </w:r>
      <w:proofErr w:type="spellStart"/>
      <w:r w:rsidRPr="00BF0C9B">
        <w:rPr>
          <w:rFonts w:cs="Arial"/>
        </w:rPr>
        <w:t>Georeg</w:t>
      </w:r>
      <w:proofErr w:type="spellEnd"/>
      <w:r w:rsidRPr="00BF0C9B">
        <w:rPr>
          <w:rFonts w:cs="Arial"/>
        </w:rPr>
        <w:t xml:space="preserve"> M Marsden.) New Haven and London: Yale University Press.</w:t>
      </w:r>
    </w:p>
  </w:endnote>
  <w:endnote w:id="7">
    <w:p w14:paraId="16ECAC8D" w14:textId="79457011" w:rsidR="00651874" w:rsidRPr="00B67E39" w:rsidRDefault="00651874" w:rsidP="00B67E39">
      <w:pPr>
        <w:pStyle w:val="NoSpacing"/>
        <w:jc w:val="both"/>
        <w:rPr>
          <w:rFonts w:cs="Arial"/>
        </w:rPr>
      </w:pPr>
      <w:r>
        <w:rPr>
          <w:rStyle w:val="EndnoteReference"/>
        </w:rPr>
        <w:endnoteRef/>
      </w:r>
      <w:r w:rsidRPr="00651874">
        <w:rPr>
          <w:lang w:val="de-DE"/>
        </w:rPr>
        <w:t xml:space="preserve"> </w:t>
      </w:r>
      <w:r w:rsidRPr="00C73872">
        <w:rPr>
          <w:rFonts w:cs="Arial"/>
          <w:lang w:val="de-DE"/>
        </w:rPr>
        <w:t xml:space="preserve">Kaplan, Robert S., Anette Mikes. </w:t>
      </w:r>
      <w:r w:rsidRPr="00BF0C9B">
        <w:rPr>
          <w:rFonts w:cs="Arial"/>
        </w:rPr>
        <w:t xml:space="preserve">2012. Managing Risks: A new Framework. </w:t>
      </w:r>
      <w:r w:rsidRPr="00BF0C9B">
        <w:rPr>
          <w:rFonts w:cs="Arial"/>
          <w:i/>
        </w:rPr>
        <w:t xml:space="preserve">Harvard Business Review. </w:t>
      </w:r>
      <w:r w:rsidRPr="00BF0C9B">
        <w:rPr>
          <w:rFonts w:cs="Arial"/>
        </w:rPr>
        <w:t>90 (6): 49-60.</w:t>
      </w:r>
    </w:p>
  </w:endnote>
  <w:endnote w:id="8">
    <w:p w14:paraId="5CB4372F" w14:textId="54FBE6F3" w:rsidR="003A2A97" w:rsidRDefault="003A2A97" w:rsidP="00B67E39">
      <w:pPr>
        <w:pStyle w:val="EndnoteText"/>
      </w:pPr>
      <w:r>
        <w:rPr>
          <w:rStyle w:val="EndnoteReference"/>
        </w:rPr>
        <w:endnoteRef/>
      </w:r>
      <w:r>
        <w:t xml:space="preserve"> </w:t>
      </w:r>
      <w:r>
        <w:t>VanderWeele,</w:t>
      </w:r>
      <w:r w:rsidRPr="003A2A97">
        <w:t xml:space="preserve"> </w:t>
      </w:r>
      <w:r>
        <w:t>Tyler J</w:t>
      </w:r>
      <w:r>
        <w:t>.</w:t>
      </w:r>
      <w:r>
        <w:t xml:space="preserve"> </w:t>
      </w:r>
      <w:proofErr w:type="spellStart"/>
      <w:r>
        <w:t>Vansteelandt</w:t>
      </w:r>
      <w:proofErr w:type="spellEnd"/>
      <w:r>
        <w:t xml:space="preserve">, </w:t>
      </w:r>
      <w:r>
        <w:t>Stijn</w:t>
      </w:r>
      <w:r>
        <w:t xml:space="preserve">. 2022. </w:t>
      </w:r>
      <w:r>
        <w:t>A Statistical Test to Reject the Structural interpretation of a Latent Factor Model</w:t>
      </w:r>
      <w:r>
        <w:t xml:space="preserve">. </w:t>
      </w:r>
      <w:r w:rsidRPr="003A2A97">
        <w:rPr>
          <w:i/>
          <w:iCs/>
        </w:rPr>
        <w:t>Journal of the Royal Statistical Society Series B: Statistical Methodology</w:t>
      </w:r>
      <w:r>
        <w:t>.</w:t>
      </w:r>
      <w:r>
        <w:t xml:space="preserve"> 84</w:t>
      </w:r>
      <w:r>
        <w:t xml:space="preserve">(5): </w:t>
      </w:r>
      <w:r>
        <w:t>2032–2054</w:t>
      </w:r>
      <w:r>
        <w:t>.</w:t>
      </w:r>
      <w:r>
        <w:t xml:space="preserve"> https://doi.org/10.1111/rssb.12555</w:t>
      </w:r>
    </w:p>
  </w:endnote>
  <w:endnote w:id="9">
    <w:p w14:paraId="6283E290" w14:textId="5ABAE02C" w:rsidR="00F13693" w:rsidRDefault="00F13693" w:rsidP="00B67E39">
      <w:pPr>
        <w:pStyle w:val="EndnoteText"/>
      </w:pPr>
      <w:r>
        <w:rPr>
          <w:rStyle w:val="EndnoteReference"/>
        </w:rPr>
        <w:endnoteRef/>
      </w:r>
      <w:r>
        <w:t xml:space="preserve"> Times Higher Education Rankings </w:t>
      </w:r>
      <w:r w:rsidRPr="00F13693">
        <w:t>https://www.timeshighereducation.com/world-university-rankings</w:t>
      </w:r>
    </w:p>
  </w:endnote>
  <w:endnote w:id="10">
    <w:p w14:paraId="5B4EEEE2" w14:textId="0D918636" w:rsidR="00F13693" w:rsidRPr="00F13693" w:rsidRDefault="00F13693" w:rsidP="00B67E39">
      <w:pPr>
        <w:pStyle w:val="EndnoteText"/>
      </w:pPr>
      <w:r>
        <w:rPr>
          <w:rStyle w:val="EndnoteReference"/>
        </w:rPr>
        <w:endnoteRef/>
      </w:r>
      <w:r w:rsidRPr="00F13693">
        <w:t xml:space="preserve"> Munro, K. </w:t>
      </w:r>
      <w:r>
        <w:t xml:space="preserve">2016. </w:t>
      </w:r>
      <w:r w:rsidRPr="00F13693">
        <w:t>Making sense of university rankings</w:t>
      </w:r>
      <w:r>
        <w:t xml:space="preserve">. </w:t>
      </w:r>
      <w:r w:rsidRPr="00F13693">
        <w:rPr>
          <w:i/>
          <w:iCs/>
        </w:rPr>
        <w:t>The Sydney Morning Herald.</w:t>
      </w:r>
      <w:r>
        <w:t xml:space="preserve"> </w:t>
      </w:r>
      <w:r w:rsidRPr="00F13693">
        <w:t>https://www.smh.com.au/education/making-sense-of-university-rankings-20160827-gr2kjs.html</w:t>
      </w:r>
    </w:p>
  </w:endnote>
  <w:endnote w:id="11">
    <w:p w14:paraId="1C2944FF" w14:textId="77E924B3" w:rsidR="00245784" w:rsidRPr="00B67E39" w:rsidRDefault="00245784" w:rsidP="00B67E39">
      <w:pPr>
        <w:pStyle w:val="NoSpacing"/>
        <w:jc w:val="both"/>
        <w:rPr>
          <w:rFonts w:cs="Arial"/>
          <w:i/>
        </w:rPr>
      </w:pPr>
      <w:r>
        <w:rPr>
          <w:rStyle w:val="EndnoteReference"/>
        </w:rPr>
        <w:endnoteRef/>
      </w:r>
      <w:r>
        <w:t xml:space="preserve"> </w:t>
      </w:r>
      <w:r w:rsidRPr="00BF0C9B">
        <w:rPr>
          <w:rFonts w:cs="Arial"/>
        </w:rPr>
        <w:t xml:space="preserve">Nelson, Adam R., Ian P. Wei (eds). 2012. </w:t>
      </w:r>
      <w:r w:rsidRPr="00BF0C9B">
        <w:rPr>
          <w:rFonts w:cs="Arial"/>
          <w:i/>
        </w:rPr>
        <w:t>The Global University: Past, Present and Future Perspectives</w:t>
      </w:r>
      <w:r w:rsidRPr="00BF0C9B">
        <w:rPr>
          <w:rFonts w:cs="Arial"/>
        </w:rPr>
        <w:t>. New York: Palgrave Macmillan, pp,6,7.</w:t>
      </w:r>
    </w:p>
  </w:endnote>
  <w:endnote w:id="12">
    <w:p w14:paraId="433DA5C5" w14:textId="4631CFDA" w:rsidR="00DB0E70" w:rsidRDefault="00DB0E70" w:rsidP="00B67E39">
      <w:pPr>
        <w:spacing w:after="0" w:line="240" w:lineRule="auto"/>
        <w:jc w:val="both"/>
      </w:pPr>
      <w:r>
        <w:rPr>
          <w:rStyle w:val="EndnoteReference"/>
        </w:rPr>
        <w:endnoteRef/>
      </w:r>
      <w:r>
        <w:t xml:space="preserve"> </w:t>
      </w:r>
      <w:r w:rsidRPr="00BF0C9B">
        <w:t xml:space="preserve">Coulthard, Darryl, Susan Keller. 2016. Publication anxiety, quality, and journal rankings: researcher views. </w:t>
      </w:r>
      <w:r w:rsidRPr="00BF0C9B">
        <w:rPr>
          <w:i/>
        </w:rPr>
        <w:t xml:space="preserve">Australasian Journal of Information Systems. </w:t>
      </w:r>
      <w:r w:rsidRPr="00BF0C9B">
        <w:t>Volume 20: [</w:t>
      </w:r>
      <w:hyperlink r:id="rId1" w:history="1">
        <w:r w:rsidRPr="00BF0C9B">
          <w:rPr>
            <w:rStyle w:val="Hyperlink"/>
          </w:rPr>
          <w:t>http://dx.doi.org/10.3127/ajis.v20i0.1262</w:t>
        </w:r>
      </w:hyperlink>
      <w:r w:rsidRPr="00BF0C9B">
        <w:t>].</w:t>
      </w:r>
    </w:p>
  </w:endnote>
  <w:endnote w:id="13">
    <w:p w14:paraId="396F2879" w14:textId="77777777" w:rsidR="00AB5456" w:rsidRPr="00BF0C9B" w:rsidRDefault="00AB5456" w:rsidP="00B67E39">
      <w:pPr>
        <w:pStyle w:val="NoSpacing"/>
        <w:jc w:val="both"/>
        <w:rPr>
          <w:rFonts w:cs="Arial"/>
          <w:i/>
        </w:rPr>
      </w:pPr>
      <w:r>
        <w:rPr>
          <w:rStyle w:val="EndnoteReference"/>
        </w:rPr>
        <w:endnoteRef/>
      </w:r>
      <w:r>
        <w:t xml:space="preserve"> </w:t>
      </w:r>
      <w:r w:rsidRPr="00BF0C9B">
        <w:rPr>
          <w:rFonts w:cs="Arial"/>
        </w:rPr>
        <w:t xml:space="preserve">Davis, Michael Warren. 2016. Voices in the Darkness. </w:t>
      </w:r>
      <w:r w:rsidRPr="00BF0C9B">
        <w:rPr>
          <w:rFonts w:cs="Arial"/>
          <w:i/>
        </w:rPr>
        <w:t>Quadrant</w:t>
      </w:r>
      <w:r w:rsidRPr="00BF0C9B">
        <w:rPr>
          <w:rFonts w:cs="Arial"/>
        </w:rPr>
        <w:t>. 60 (12): 67-69.</w:t>
      </w:r>
    </w:p>
    <w:p w14:paraId="6F4401F7" w14:textId="7870722F" w:rsidR="00AB5456" w:rsidRDefault="00AB545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90021"/>
      <w:docPartObj>
        <w:docPartGallery w:val="Page Numbers (Bottom of Page)"/>
        <w:docPartUnique/>
      </w:docPartObj>
    </w:sdtPr>
    <w:sdtEndPr>
      <w:rPr>
        <w:noProof/>
      </w:rPr>
    </w:sdtEndPr>
    <w:sdtContent>
      <w:p w14:paraId="27393549" w14:textId="05CC4ABF" w:rsidR="009044EC" w:rsidRDefault="009044EC">
        <w:pPr>
          <w:pStyle w:val="Footer"/>
          <w:jc w:val="center"/>
        </w:pPr>
        <w:r>
          <w:fldChar w:fldCharType="begin"/>
        </w:r>
        <w:r>
          <w:instrText xml:space="preserve"> PAGE   \* MERGEFORMAT </w:instrText>
        </w:r>
        <w:r>
          <w:fldChar w:fldCharType="separate"/>
        </w:r>
        <w:r w:rsidR="004F7EC1">
          <w:rPr>
            <w:noProof/>
          </w:rPr>
          <w:t>4</w:t>
        </w:r>
        <w:r>
          <w:rPr>
            <w:noProof/>
          </w:rPr>
          <w:fldChar w:fldCharType="end"/>
        </w:r>
      </w:p>
    </w:sdtContent>
  </w:sdt>
  <w:p w14:paraId="090AAEE6" w14:textId="77777777" w:rsidR="008A0745" w:rsidRDefault="008A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E654" w14:textId="77777777" w:rsidR="00927D82" w:rsidRDefault="00927D82" w:rsidP="00BE1FA9">
      <w:pPr>
        <w:spacing w:after="0" w:line="240" w:lineRule="auto"/>
      </w:pPr>
      <w:r>
        <w:separator/>
      </w:r>
    </w:p>
  </w:footnote>
  <w:footnote w:type="continuationSeparator" w:id="0">
    <w:p w14:paraId="6AC83B3F" w14:textId="77777777" w:rsidR="00927D82" w:rsidRDefault="00927D82" w:rsidP="00BE1FA9">
      <w:pPr>
        <w:spacing w:after="0" w:line="240" w:lineRule="auto"/>
      </w:pPr>
      <w:r>
        <w:continuationSeparator/>
      </w:r>
    </w:p>
  </w:footnote>
  <w:footnote w:id="1">
    <w:p w14:paraId="20A8B6E1" w14:textId="595A6298" w:rsidR="006E49A1" w:rsidRPr="008C01FE" w:rsidRDefault="006E49A1" w:rsidP="00613F2C">
      <w:pPr>
        <w:pStyle w:val="FootnoteText"/>
        <w:jc w:val="both"/>
        <w:rPr>
          <w:b/>
          <w:color w:val="0070C0"/>
          <w:sz w:val="20"/>
        </w:rPr>
      </w:pPr>
      <w:r w:rsidRPr="008C01FE">
        <w:rPr>
          <w:rStyle w:val="FootnoteReference"/>
          <w:b/>
          <w:color w:val="0070C0"/>
          <w:sz w:val="20"/>
        </w:rPr>
        <w:sym w:font="Symbol" w:char="F02A"/>
      </w:r>
      <w:r w:rsidRPr="008C01FE">
        <w:rPr>
          <w:b/>
          <w:color w:val="0070C0"/>
          <w:sz w:val="20"/>
        </w:rPr>
        <w:t xml:space="preserve">  These papers are for </w:t>
      </w:r>
      <w:r w:rsidR="00613F2C" w:rsidRPr="008C01FE">
        <w:rPr>
          <w:b/>
          <w:color w:val="0070C0"/>
          <w:sz w:val="20"/>
        </w:rPr>
        <w:t>internal discussion within CESA</w:t>
      </w:r>
      <w:r w:rsidRPr="008C01FE">
        <w:rPr>
          <w:b/>
          <w:color w:val="0070C0"/>
          <w:sz w:val="20"/>
        </w:rPr>
        <w:t xml:space="preserve"> </w:t>
      </w:r>
      <w:r w:rsidR="00613F2C" w:rsidRPr="008C01FE">
        <w:rPr>
          <w:b/>
          <w:color w:val="0070C0"/>
          <w:sz w:val="20"/>
        </w:rPr>
        <w:t xml:space="preserve">on topics related to </w:t>
      </w:r>
      <w:r w:rsidR="008874B7" w:rsidRPr="008C01FE">
        <w:rPr>
          <w:b/>
          <w:color w:val="0070C0"/>
          <w:sz w:val="20"/>
        </w:rPr>
        <w:t xml:space="preserve">the </w:t>
      </w:r>
      <w:r w:rsidR="00613F2C" w:rsidRPr="008C01FE">
        <w:rPr>
          <w:b/>
          <w:color w:val="0070C0"/>
          <w:sz w:val="20"/>
        </w:rPr>
        <w:t>CESA</w:t>
      </w:r>
      <w:r w:rsidRPr="008C01FE">
        <w:rPr>
          <w:b/>
          <w:color w:val="0070C0"/>
          <w:sz w:val="20"/>
        </w:rPr>
        <w:t xml:space="preserve"> Mission</w:t>
      </w:r>
      <w:r w:rsidR="008874B7" w:rsidRPr="008C01FE">
        <w:rPr>
          <w:b/>
          <w:color w:val="0070C0"/>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35C1"/>
    <w:multiLevelType w:val="hybridMultilevel"/>
    <w:tmpl w:val="5CB63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02485"/>
    <w:multiLevelType w:val="hybridMultilevel"/>
    <w:tmpl w:val="8F9E36D0"/>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2" w15:restartNumberingAfterBreak="0">
    <w:nsid w:val="215A2E56"/>
    <w:multiLevelType w:val="hybridMultilevel"/>
    <w:tmpl w:val="3A9CDA22"/>
    <w:lvl w:ilvl="0" w:tplc="F50EB21A">
      <w:start w:val="1"/>
      <w:numFmt w:val="bullet"/>
      <w:pStyle w:val="BulletsL2"/>
      <w:lvlText w:val="4"/>
      <w:lvlJc w:val="left"/>
      <w:pPr>
        <w:ind w:left="1146" w:hanging="360"/>
      </w:pPr>
      <w:rPr>
        <w:rFonts w:ascii="Webdings" w:hAnsi="Webdings" w:hint="default"/>
        <w:color w:val="00A6A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25852775"/>
    <w:multiLevelType w:val="hybridMultilevel"/>
    <w:tmpl w:val="D9D8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2438E8"/>
    <w:multiLevelType w:val="hybridMultilevel"/>
    <w:tmpl w:val="0E1A6C00"/>
    <w:lvl w:ilvl="0" w:tplc="DB1205EA">
      <w:start w:val="1"/>
      <w:numFmt w:val="bullet"/>
      <w:pStyle w:val="VETRec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523D9"/>
    <w:multiLevelType w:val="hybridMultilevel"/>
    <w:tmpl w:val="C4E05C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11619"/>
    <w:multiLevelType w:val="hybridMultilevel"/>
    <w:tmpl w:val="CB3A1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2D5822"/>
    <w:multiLevelType w:val="hybridMultilevel"/>
    <w:tmpl w:val="F0C69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375600"/>
    <w:multiLevelType w:val="hybridMultilevel"/>
    <w:tmpl w:val="0B2E6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A25C96"/>
    <w:multiLevelType w:val="hybridMultilevel"/>
    <w:tmpl w:val="8474C2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2A28F7"/>
    <w:multiLevelType w:val="hybridMultilevel"/>
    <w:tmpl w:val="ACE8D5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E94497"/>
    <w:multiLevelType w:val="hybridMultilevel"/>
    <w:tmpl w:val="4816D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8B037D"/>
    <w:multiLevelType w:val="hybridMultilevel"/>
    <w:tmpl w:val="ECFC2A64"/>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3" w15:restartNumberingAfterBreak="0">
    <w:nsid w:val="68FA1CE5"/>
    <w:multiLevelType w:val="hybridMultilevel"/>
    <w:tmpl w:val="45BE03CA"/>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4" w15:restartNumberingAfterBreak="0">
    <w:nsid w:val="6A7D0597"/>
    <w:multiLevelType w:val="hybridMultilevel"/>
    <w:tmpl w:val="37DA0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45143D"/>
    <w:multiLevelType w:val="hybridMultilevel"/>
    <w:tmpl w:val="3B18869A"/>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num w:numId="1" w16cid:durableId="356930081">
    <w:abstractNumId w:val="4"/>
  </w:num>
  <w:num w:numId="2" w16cid:durableId="152838632">
    <w:abstractNumId w:val="2"/>
  </w:num>
  <w:num w:numId="3" w16cid:durableId="1274050556">
    <w:abstractNumId w:val="1"/>
  </w:num>
  <w:num w:numId="4" w16cid:durableId="1666280223">
    <w:abstractNumId w:val="15"/>
  </w:num>
  <w:num w:numId="5" w16cid:durableId="1227254344">
    <w:abstractNumId w:val="12"/>
  </w:num>
  <w:num w:numId="6" w16cid:durableId="697119656">
    <w:abstractNumId w:val="13"/>
  </w:num>
  <w:num w:numId="7" w16cid:durableId="907572983">
    <w:abstractNumId w:val="8"/>
  </w:num>
  <w:num w:numId="8" w16cid:durableId="1100375535">
    <w:abstractNumId w:val="10"/>
  </w:num>
  <w:num w:numId="9" w16cid:durableId="1124232425">
    <w:abstractNumId w:val="0"/>
  </w:num>
  <w:num w:numId="10" w16cid:durableId="2064864235">
    <w:abstractNumId w:val="9"/>
  </w:num>
  <w:num w:numId="11" w16cid:durableId="623072789">
    <w:abstractNumId w:val="5"/>
  </w:num>
  <w:num w:numId="12" w16cid:durableId="615021456">
    <w:abstractNumId w:val="7"/>
  </w:num>
  <w:num w:numId="13" w16cid:durableId="285159821">
    <w:abstractNumId w:val="11"/>
  </w:num>
  <w:num w:numId="14" w16cid:durableId="2062436398">
    <w:abstractNumId w:val="14"/>
  </w:num>
  <w:num w:numId="15" w16cid:durableId="713315652">
    <w:abstractNumId w:val="3"/>
  </w:num>
  <w:num w:numId="16" w16cid:durableId="126511691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bordersDoNotSurroundHeader/>
  <w:bordersDoNotSurroundFooter/>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s7A0sTAzsATSZko6SsGpxcWZ+XkgBYaWtQAJjRrSLQAAAA=="/>
  </w:docVars>
  <w:rsids>
    <w:rsidRoot w:val="00BE1FA9"/>
    <w:rsid w:val="00000887"/>
    <w:rsid w:val="0001301E"/>
    <w:rsid w:val="00014788"/>
    <w:rsid w:val="00015E0D"/>
    <w:rsid w:val="000217D3"/>
    <w:rsid w:val="00025686"/>
    <w:rsid w:val="00030707"/>
    <w:rsid w:val="0004179C"/>
    <w:rsid w:val="0004434B"/>
    <w:rsid w:val="00045A52"/>
    <w:rsid w:val="00046DC3"/>
    <w:rsid w:val="00055A65"/>
    <w:rsid w:val="000663DF"/>
    <w:rsid w:val="00080CC0"/>
    <w:rsid w:val="00087F4E"/>
    <w:rsid w:val="00092F83"/>
    <w:rsid w:val="00096BBB"/>
    <w:rsid w:val="000976F4"/>
    <w:rsid w:val="000A6E9A"/>
    <w:rsid w:val="000B2B2F"/>
    <w:rsid w:val="000B4DF3"/>
    <w:rsid w:val="000C434C"/>
    <w:rsid w:val="000C44C6"/>
    <w:rsid w:val="000D0CFD"/>
    <w:rsid w:val="000D407B"/>
    <w:rsid w:val="000E03B0"/>
    <w:rsid w:val="000E633F"/>
    <w:rsid w:val="000E679C"/>
    <w:rsid w:val="000F16F6"/>
    <w:rsid w:val="000F1764"/>
    <w:rsid w:val="000F6DFE"/>
    <w:rsid w:val="00102CD1"/>
    <w:rsid w:val="0011012A"/>
    <w:rsid w:val="001107A3"/>
    <w:rsid w:val="0011613E"/>
    <w:rsid w:val="001177FB"/>
    <w:rsid w:val="00117C9F"/>
    <w:rsid w:val="001311EF"/>
    <w:rsid w:val="00141E33"/>
    <w:rsid w:val="00147A15"/>
    <w:rsid w:val="00152F33"/>
    <w:rsid w:val="00157B6D"/>
    <w:rsid w:val="00163155"/>
    <w:rsid w:val="001730F5"/>
    <w:rsid w:val="00175FB2"/>
    <w:rsid w:val="00196CB4"/>
    <w:rsid w:val="001A2861"/>
    <w:rsid w:val="001A7B43"/>
    <w:rsid w:val="001D5315"/>
    <w:rsid w:val="001D71D8"/>
    <w:rsid w:val="00210511"/>
    <w:rsid w:val="00217D88"/>
    <w:rsid w:val="002203FD"/>
    <w:rsid w:val="00222BFF"/>
    <w:rsid w:val="00245784"/>
    <w:rsid w:val="002469FB"/>
    <w:rsid w:val="002502D8"/>
    <w:rsid w:val="002609DA"/>
    <w:rsid w:val="00280441"/>
    <w:rsid w:val="00294C84"/>
    <w:rsid w:val="002957A2"/>
    <w:rsid w:val="002B7579"/>
    <w:rsid w:val="002C6D2D"/>
    <w:rsid w:val="002D7F5D"/>
    <w:rsid w:val="002F62B8"/>
    <w:rsid w:val="00301835"/>
    <w:rsid w:val="0030318D"/>
    <w:rsid w:val="00306CC9"/>
    <w:rsid w:val="00306F79"/>
    <w:rsid w:val="00310F30"/>
    <w:rsid w:val="00320B40"/>
    <w:rsid w:val="00321961"/>
    <w:rsid w:val="0033176E"/>
    <w:rsid w:val="00331E3E"/>
    <w:rsid w:val="00336D1B"/>
    <w:rsid w:val="003512FC"/>
    <w:rsid w:val="00352FDD"/>
    <w:rsid w:val="00357E9A"/>
    <w:rsid w:val="00360D71"/>
    <w:rsid w:val="00375BC8"/>
    <w:rsid w:val="00376087"/>
    <w:rsid w:val="00376FC1"/>
    <w:rsid w:val="00381394"/>
    <w:rsid w:val="00381D57"/>
    <w:rsid w:val="00387211"/>
    <w:rsid w:val="0039776A"/>
    <w:rsid w:val="003A2A97"/>
    <w:rsid w:val="003A2D2A"/>
    <w:rsid w:val="003B4133"/>
    <w:rsid w:val="003B792C"/>
    <w:rsid w:val="003B7C5B"/>
    <w:rsid w:val="003C290D"/>
    <w:rsid w:val="003C5C4B"/>
    <w:rsid w:val="003D66A4"/>
    <w:rsid w:val="003E38A4"/>
    <w:rsid w:val="003E6C76"/>
    <w:rsid w:val="003F18FE"/>
    <w:rsid w:val="003F2D19"/>
    <w:rsid w:val="003F3068"/>
    <w:rsid w:val="003F669C"/>
    <w:rsid w:val="0042258D"/>
    <w:rsid w:val="00431580"/>
    <w:rsid w:val="0044326C"/>
    <w:rsid w:val="004513A1"/>
    <w:rsid w:val="004728FC"/>
    <w:rsid w:val="004768A7"/>
    <w:rsid w:val="004803F2"/>
    <w:rsid w:val="00494AD5"/>
    <w:rsid w:val="00494D4E"/>
    <w:rsid w:val="00495E37"/>
    <w:rsid w:val="00497B70"/>
    <w:rsid w:val="004A4C5D"/>
    <w:rsid w:val="004A5900"/>
    <w:rsid w:val="004A5D2F"/>
    <w:rsid w:val="004B3046"/>
    <w:rsid w:val="004B7D6E"/>
    <w:rsid w:val="004C3891"/>
    <w:rsid w:val="004D69A3"/>
    <w:rsid w:val="004E149C"/>
    <w:rsid w:val="004E3923"/>
    <w:rsid w:val="004E5065"/>
    <w:rsid w:val="004F52C2"/>
    <w:rsid w:val="004F737F"/>
    <w:rsid w:val="004F7EC1"/>
    <w:rsid w:val="0050408E"/>
    <w:rsid w:val="00517D53"/>
    <w:rsid w:val="00523605"/>
    <w:rsid w:val="005268C2"/>
    <w:rsid w:val="00537F09"/>
    <w:rsid w:val="005527E4"/>
    <w:rsid w:val="005536AE"/>
    <w:rsid w:val="005623E8"/>
    <w:rsid w:val="00571E1B"/>
    <w:rsid w:val="00573B53"/>
    <w:rsid w:val="00585CF9"/>
    <w:rsid w:val="005867B2"/>
    <w:rsid w:val="005A3071"/>
    <w:rsid w:val="005A5B2A"/>
    <w:rsid w:val="005C20CD"/>
    <w:rsid w:val="005D4E4B"/>
    <w:rsid w:val="005E419F"/>
    <w:rsid w:val="00600512"/>
    <w:rsid w:val="00603DD5"/>
    <w:rsid w:val="00603F3A"/>
    <w:rsid w:val="00613F2C"/>
    <w:rsid w:val="0062463A"/>
    <w:rsid w:val="00633728"/>
    <w:rsid w:val="00633A92"/>
    <w:rsid w:val="00636EF6"/>
    <w:rsid w:val="00641828"/>
    <w:rsid w:val="00644747"/>
    <w:rsid w:val="00651874"/>
    <w:rsid w:val="006667CD"/>
    <w:rsid w:val="006758E8"/>
    <w:rsid w:val="00682DCC"/>
    <w:rsid w:val="00683312"/>
    <w:rsid w:val="00684EA4"/>
    <w:rsid w:val="006877D4"/>
    <w:rsid w:val="00695867"/>
    <w:rsid w:val="00695999"/>
    <w:rsid w:val="006A4FDF"/>
    <w:rsid w:val="006A56BE"/>
    <w:rsid w:val="006B2972"/>
    <w:rsid w:val="006C1524"/>
    <w:rsid w:val="006D2242"/>
    <w:rsid w:val="006E49A1"/>
    <w:rsid w:val="0070174A"/>
    <w:rsid w:val="00702C4A"/>
    <w:rsid w:val="00705875"/>
    <w:rsid w:val="007067A2"/>
    <w:rsid w:val="00713606"/>
    <w:rsid w:val="00714227"/>
    <w:rsid w:val="007175F4"/>
    <w:rsid w:val="0072080F"/>
    <w:rsid w:val="00721CB6"/>
    <w:rsid w:val="0074009A"/>
    <w:rsid w:val="007445E5"/>
    <w:rsid w:val="00766830"/>
    <w:rsid w:val="00771048"/>
    <w:rsid w:val="007752B9"/>
    <w:rsid w:val="00780DA2"/>
    <w:rsid w:val="007A4423"/>
    <w:rsid w:val="007C021D"/>
    <w:rsid w:val="007D24C3"/>
    <w:rsid w:val="007E72E5"/>
    <w:rsid w:val="007F5708"/>
    <w:rsid w:val="007F5B35"/>
    <w:rsid w:val="00805A62"/>
    <w:rsid w:val="00815473"/>
    <w:rsid w:val="00815882"/>
    <w:rsid w:val="00823A0F"/>
    <w:rsid w:val="00824491"/>
    <w:rsid w:val="00831E57"/>
    <w:rsid w:val="00832B87"/>
    <w:rsid w:val="008348B7"/>
    <w:rsid w:val="00835F36"/>
    <w:rsid w:val="00836FE5"/>
    <w:rsid w:val="00841D8F"/>
    <w:rsid w:val="00844269"/>
    <w:rsid w:val="00854A8A"/>
    <w:rsid w:val="008559BE"/>
    <w:rsid w:val="00855E4D"/>
    <w:rsid w:val="0086450B"/>
    <w:rsid w:val="00870579"/>
    <w:rsid w:val="00881CCE"/>
    <w:rsid w:val="008874B7"/>
    <w:rsid w:val="00896718"/>
    <w:rsid w:val="008A0745"/>
    <w:rsid w:val="008A2320"/>
    <w:rsid w:val="008B7D34"/>
    <w:rsid w:val="008C01FE"/>
    <w:rsid w:val="008C1C30"/>
    <w:rsid w:val="008C63B1"/>
    <w:rsid w:val="008D31E9"/>
    <w:rsid w:val="008D4C6D"/>
    <w:rsid w:val="008E159E"/>
    <w:rsid w:val="008E24A7"/>
    <w:rsid w:val="008E5C71"/>
    <w:rsid w:val="008E6F0A"/>
    <w:rsid w:val="00902254"/>
    <w:rsid w:val="009044EC"/>
    <w:rsid w:val="0092018A"/>
    <w:rsid w:val="009220D8"/>
    <w:rsid w:val="00927D82"/>
    <w:rsid w:val="00927ECB"/>
    <w:rsid w:val="0093285A"/>
    <w:rsid w:val="00950C2F"/>
    <w:rsid w:val="00955A85"/>
    <w:rsid w:val="009573B7"/>
    <w:rsid w:val="00970F15"/>
    <w:rsid w:val="00983482"/>
    <w:rsid w:val="00983CFC"/>
    <w:rsid w:val="00985902"/>
    <w:rsid w:val="00985BCE"/>
    <w:rsid w:val="0098706C"/>
    <w:rsid w:val="00992930"/>
    <w:rsid w:val="00993900"/>
    <w:rsid w:val="009A3874"/>
    <w:rsid w:val="009A6B0F"/>
    <w:rsid w:val="009B1594"/>
    <w:rsid w:val="009B7B59"/>
    <w:rsid w:val="009C5DE8"/>
    <w:rsid w:val="00A03893"/>
    <w:rsid w:val="00A05A4D"/>
    <w:rsid w:val="00A215A0"/>
    <w:rsid w:val="00A26D68"/>
    <w:rsid w:val="00A27FF3"/>
    <w:rsid w:val="00A43F8E"/>
    <w:rsid w:val="00A61EF8"/>
    <w:rsid w:val="00A62C26"/>
    <w:rsid w:val="00A75CF9"/>
    <w:rsid w:val="00A80F20"/>
    <w:rsid w:val="00A96D7C"/>
    <w:rsid w:val="00AA5349"/>
    <w:rsid w:val="00AB0725"/>
    <w:rsid w:val="00AB5456"/>
    <w:rsid w:val="00AC526B"/>
    <w:rsid w:val="00AD29F3"/>
    <w:rsid w:val="00AE7A09"/>
    <w:rsid w:val="00B23FAD"/>
    <w:rsid w:val="00B376B9"/>
    <w:rsid w:val="00B413F8"/>
    <w:rsid w:val="00B5392F"/>
    <w:rsid w:val="00B57E02"/>
    <w:rsid w:val="00B60D9B"/>
    <w:rsid w:val="00B6214B"/>
    <w:rsid w:val="00B621E2"/>
    <w:rsid w:val="00B67E39"/>
    <w:rsid w:val="00B72C55"/>
    <w:rsid w:val="00B73C5B"/>
    <w:rsid w:val="00B83D7F"/>
    <w:rsid w:val="00B91F62"/>
    <w:rsid w:val="00B92B33"/>
    <w:rsid w:val="00BB731A"/>
    <w:rsid w:val="00BC1F80"/>
    <w:rsid w:val="00BC6C95"/>
    <w:rsid w:val="00BC7F0A"/>
    <w:rsid w:val="00BE1FA9"/>
    <w:rsid w:val="00BF0C9B"/>
    <w:rsid w:val="00BF720F"/>
    <w:rsid w:val="00C022CD"/>
    <w:rsid w:val="00C13F42"/>
    <w:rsid w:val="00C15D46"/>
    <w:rsid w:val="00C25E89"/>
    <w:rsid w:val="00C3057E"/>
    <w:rsid w:val="00C37AD7"/>
    <w:rsid w:val="00C47974"/>
    <w:rsid w:val="00C54148"/>
    <w:rsid w:val="00C54DC4"/>
    <w:rsid w:val="00C56021"/>
    <w:rsid w:val="00C570F1"/>
    <w:rsid w:val="00C64B42"/>
    <w:rsid w:val="00C73872"/>
    <w:rsid w:val="00C82838"/>
    <w:rsid w:val="00C87F6A"/>
    <w:rsid w:val="00CA7349"/>
    <w:rsid w:val="00CB4A84"/>
    <w:rsid w:val="00CC2AB3"/>
    <w:rsid w:val="00CC2D15"/>
    <w:rsid w:val="00CC6DDD"/>
    <w:rsid w:val="00CD133B"/>
    <w:rsid w:val="00CD5689"/>
    <w:rsid w:val="00CF7FBE"/>
    <w:rsid w:val="00D00BE8"/>
    <w:rsid w:val="00D027E1"/>
    <w:rsid w:val="00D02A79"/>
    <w:rsid w:val="00D10767"/>
    <w:rsid w:val="00D115F0"/>
    <w:rsid w:val="00D147AF"/>
    <w:rsid w:val="00D149F4"/>
    <w:rsid w:val="00D2672D"/>
    <w:rsid w:val="00D313C5"/>
    <w:rsid w:val="00D3183D"/>
    <w:rsid w:val="00D4157B"/>
    <w:rsid w:val="00D41CC2"/>
    <w:rsid w:val="00D4748E"/>
    <w:rsid w:val="00D515EC"/>
    <w:rsid w:val="00D57033"/>
    <w:rsid w:val="00D7725C"/>
    <w:rsid w:val="00D77A44"/>
    <w:rsid w:val="00D82541"/>
    <w:rsid w:val="00D90066"/>
    <w:rsid w:val="00D93573"/>
    <w:rsid w:val="00D93E42"/>
    <w:rsid w:val="00D95784"/>
    <w:rsid w:val="00DA619A"/>
    <w:rsid w:val="00DB0E70"/>
    <w:rsid w:val="00DB1CD8"/>
    <w:rsid w:val="00DB3919"/>
    <w:rsid w:val="00DB44FD"/>
    <w:rsid w:val="00DD0EC4"/>
    <w:rsid w:val="00DE02FA"/>
    <w:rsid w:val="00DE0949"/>
    <w:rsid w:val="00DE4492"/>
    <w:rsid w:val="00DE51BA"/>
    <w:rsid w:val="00DF3463"/>
    <w:rsid w:val="00DF732E"/>
    <w:rsid w:val="00DF7B91"/>
    <w:rsid w:val="00E162E3"/>
    <w:rsid w:val="00E21D6A"/>
    <w:rsid w:val="00E354D4"/>
    <w:rsid w:val="00E36EDA"/>
    <w:rsid w:val="00E50E36"/>
    <w:rsid w:val="00E57A8E"/>
    <w:rsid w:val="00E65818"/>
    <w:rsid w:val="00E66125"/>
    <w:rsid w:val="00EA0A05"/>
    <w:rsid w:val="00EA27EA"/>
    <w:rsid w:val="00EA5296"/>
    <w:rsid w:val="00EB3039"/>
    <w:rsid w:val="00EB6CB9"/>
    <w:rsid w:val="00EC4132"/>
    <w:rsid w:val="00EC6CE5"/>
    <w:rsid w:val="00ED4FE1"/>
    <w:rsid w:val="00EE1513"/>
    <w:rsid w:val="00EE5022"/>
    <w:rsid w:val="00EF255C"/>
    <w:rsid w:val="00EF402B"/>
    <w:rsid w:val="00F0176D"/>
    <w:rsid w:val="00F04919"/>
    <w:rsid w:val="00F05F40"/>
    <w:rsid w:val="00F06A24"/>
    <w:rsid w:val="00F13693"/>
    <w:rsid w:val="00F23861"/>
    <w:rsid w:val="00F25783"/>
    <w:rsid w:val="00F46C6E"/>
    <w:rsid w:val="00F537F8"/>
    <w:rsid w:val="00F5663C"/>
    <w:rsid w:val="00F5671F"/>
    <w:rsid w:val="00F615A3"/>
    <w:rsid w:val="00F93E80"/>
    <w:rsid w:val="00FA0839"/>
    <w:rsid w:val="00FB76D5"/>
    <w:rsid w:val="00FE7A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3EC2E"/>
  <w15:docId w15:val="{BCC2AE48-CBDF-43EA-8244-8BA1628B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D5"/>
  </w:style>
  <w:style w:type="paragraph" w:styleId="Heading1">
    <w:name w:val="heading 1"/>
    <w:basedOn w:val="Normal"/>
    <w:next w:val="Normal"/>
    <w:link w:val="Heading1Char"/>
    <w:uiPriority w:val="9"/>
    <w:qFormat/>
    <w:rsid w:val="00BC1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15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133B"/>
    <w:pPr>
      <w:keepNext/>
      <w:spacing w:before="220" w:after="220"/>
      <w:outlineLvl w:val="2"/>
    </w:pPr>
    <w:rPr>
      <w:rFonts w:ascii="Arial" w:hAnsi="Arial" w:cs="Arial"/>
      <w:b/>
      <w:color w:val="000000" w:themeColor="text1"/>
      <w:szCs w:val="24"/>
      <w:lang w:val="en-US"/>
    </w:rPr>
  </w:style>
  <w:style w:type="paragraph" w:styleId="Heading4">
    <w:name w:val="heading 4"/>
    <w:basedOn w:val="Normal"/>
    <w:next w:val="Normal"/>
    <w:link w:val="Heading4Char"/>
    <w:uiPriority w:val="9"/>
    <w:unhideWhenUsed/>
    <w:qFormat/>
    <w:rsid w:val="000C43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F176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F1764"/>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Ttablerow1">
    <w:name w:val="VET table row 1"/>
    <w:basedOn w:val="Normal"/>
    <w:qFormat/>
    <w:rsid w:val="00BE1FA9"/>
    <w:pPr>
      <w:spacing w:after="80"/>
    </w:pPr>
    <w:rPr>
      <w:rFonts w:ascii="Arial" w:hAnsi="Arial" w:cs="Arial"/>
      <w:b/>
      <w:color w:val="FFFFFF" w:themeColor="background1"/>
      <w:sz w:val="21"/>
      <w:szCs w:val="24"/>
      <w:lang w:val="en-US"/>
    </w:rPr>
  </w:style>
  <w:style w:type="paragraph" w:customStyle="1" w:styleId="VETtabletext">
    <w:name w:val="VET table text"/>
    <w:basedOn w:val="Normal"/>
    <w:qFormat/>
    <w:rsid w:val="00BE1FA9"/>
    <w:pPr>
      <w:spacing w:after="80"/>
    </w:pPr>
    <w:rPr>
      <w:rFonts w:ascii="Arial" w:hAnsi="Arial" w:cs="Arial"/>
      <w:color w:val="000000" w:themeColor="text1"/>
      <w:sz w:val="21"/>
      <w:szCs w:val="24"/>
      <w:lang w:eastAsia="ja-JP"/>
    </w:rPr>
  </w:style>
  <w:style w:type="paragraph" w:customStyle="1" w:styleId="VETtableheading">
    <w:name w:val="VET table heading"/>
    <w:basedOn w:val="Normal"/>
    <w:qFormat/>
    <w:rsid w:val="00BE1FA9"/>
    <w:pPr>
      <w:keepNext/>
    </w:pPr>
    <w:rPr>
      <w:rFonts w:ascii="Arial" w:hAnsi="Arial" w:cs="Arial"/>
      <w:b/>
      <w:color w:val="004B88"/>
      <w:lang w:val="en-US"/>
    </w:rPr>
  </w:style>
  <w:style w:type="paragraph" w:styleId="FootnoteText">
    <w:name w:val="footnote text"/>
    <w:basedOn w:val="Normal"/>
    <w:link w:val="FootnoteTextChar"/>
    <w:uiPriority w:val="99"/>
    <w:unhideWhenUsed/>
    <w:rsid w:val="00BE1FA9"/>
    <w:pPr>
      <w:spacing w:after="0" w:line="240" w:lineRule="auto"/>
    </w:pPr>
    <w:rPr>
      <w:rFonts w:ascii="Arial" w:eastAsia="Cambria" w:hAnsi="Arial" w:cs="Arial"/>
      <w:color w:val="000000" w:themeColor="text1"/>
      <w:kern w:val="20"/>
      <w:sz w:val="18"/>
      <w:szCs w:val="20"/>
      <w:lang w:eastAsia="ja-JP"/>
    </w:rPr>
  </w:style>
  <w:style w:type="character" w:customStyle="1" w:styleId="FootnoteTextChar">
    <w:name w:val="Footnote Text Char"/>
    <w:basedOn w:val="DefaultParagraphFont"/>
    <w:link w:val="FootnoteText"/>
    <w:uiPriority w:val="99"/>
    <w:rsid w:val="00BE1FA9"/>
    <w:rPr>
      <w:rFonts w:ascii="Arial" w:eastAsia="Cambria" w:hAnsi="Arial" w:cs="Arial"/>
      <w:color w:val="000000" w:themeColor="text1"/>
      <w:kern w:val="20"/>
      <w:sz w:val="18"/>
      <w:szCs w:val="20"/>
      <w:lang w:eastAsia="ja-JP"/>
    </w:rPr>
  </w:style>
  <w:style w:type="character" w:styleId="FootnoteReference">
    <w:name w:val="footnote reference"/>
    <w:uiPriority w:val="99"/>
    <w:unhideWhenUsed/>
    <w:rsid w:val="00BE1FA9"/>
    <w:rPr>
      <w:rFonts w:ascii="Arial" w:hAnsi="Arial"/>
      <w:sz w:val="18"/>
      <w:vertAlign w:val="superscript"/>
    </w:rPr>
  </w:style>
  <w:style w:type="paragraph" w:customStyle="1" w:styleId="Footnotes">
    <w:name w:val="Footnotes"/>
    <w:basedOn w:val="FootnoteText"/>
    <w:link w:val="FootnotesChar"/>
    <w:qFormat/>
    <w:rsid w:val="00BE1FA9"/>
    <w:rPr>
      <w:szCs w:val="18"/>
    </w:rPr>
  </w:style>
  <w:style w:type="character" w:customStyle="1" w:styleId="FootnotesChar">
    <w:name w:val="Footnotes Char"/>
    <w:basedOn w:val="FootnoteTextChar"/>
    <w:link w:val="Footnotes"/>
    <w:rsid w:val="00BE1FA9"/>
    <w:rPr>
      <w:rFonts w:ascii="Arial" w:eastAsia="Cambria" w:hAnsi="Arial" w:cs="Arial"/>
      <w:color w:val="000000" w:themeColor="text1"/>
      <w:kern w:val="20"/>
      <w:sz w:val="18"/>
      <w:szCs w:val="18"/>
      <w:lang w:eastAsia="ja-JP"/>
    </w:rPr>
  </w:style>
  <w:style w:type="paragraph" w:styleId="Header">
    <w:name w:val="header"/>
    <w:basedOn w:val="Normal"/>
    <w:link w:val="HeaderChar"/>
    <w:uiPriority w:val="99"/>
    <w:unhideWhenUsed/>
    <w:rsid w:val="00CD1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33B"/>
  </w:style>
  <w:style w:type="paragraph" w:styleId="Footer">
    <w:name w:val="footer"/>
    <w:basedOn w:val="Normal"/>
    <w:link w:val="FooterChar"/>
    <w:uiPriority w:val="99"/>
    <w:unhideWhenUsed/>
    <w:rsid w:val="00CD1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33B"/>
  </w:style>
  <w:style w:type="paragraph" w:customStyle="1" w:styleId="VETQuote">
    <w:name w:val="VET Quote"/>
    <w:basedOn w:val="Normal"/>
    <w:link w:val="VETQuoteChar"/>
    <w:qFormat/>
    <w:rsid w:val="00CD133B"/>
    <w:pPr>
      <w:ind w:left="720"/>
    </w:pPr>
    <w:rPr>
      <w:rFonts w:ascii="Arial" w:hAnsi="Arial" w:cs="Arial"/>
      <w:i/>
      <w:color w:val="0070C0"/>
      <w:szCs w:val="24"/>
      <w:lang w:val="en-US"/>
    </w:rPr>
  </w:style>
  <w:style w:type="character" w:customStyle="1" w:styleId="VETQuoteChar">
    <w:name w:val="VET Quote Char"/>
    <w:basedOn w:val="DefaultParagraphFont"/>
    <w:link w:val="VETQuote"/>
    <w:rsid w:val="00CD133B"/>
    <w:rPr>
      <w:rFonts w:ascii="Arial" w:hAnsi="Arial" w:cs="Arial"/>
      <w:i/>
      <w:color w:val="0070C0"/>
      <w:szCs w:val="24"/>
      <w:lang w:val="en-US"/>
    </w:rPr>
  </w:style>
  <w:style w:type="paragraph" w:customStyle="1" w:styleId="VETbodycopy">
    <w:name w:val="VET body copy"/>
    <w:basedOn w:val="Normal"/>
    <w:link w:val="VETbodycopyChar"/>
    <w:qFormat/>
    <w:rsid w:val="00CD133B"/>
    <w:rPr>
      <w:rFonts w:ascii="Arial" w:hAnsi="Arial" w:cs="Arial"/>
      <w:color w:val="000000" w:themeColor="text1"/>
      <w:szCs w:val="24"/>
      <w:lang w:eastAsia="ja-JP"/>
    </w:rPr>
  </w:style>
  <w:style w:type="character" w:customStyle="1" w:styleId="VETbodycopyChar">
    <w:name w:val="VET body copy Char"/>
    <w:basedOn w:val="DefaultParagraphFont"/>
    <w:link w:val="VETbodycopy"/>
    <w:rsid w:val="00CD133B"/>
    <w:rPr>
      <w:rFonts w:ascii="Arial" w:hAnsi="Arial" w:cs="Arial"/>
      <w:color w:val="000000" w:themeColor="text1"/>
      <w:szCs w:val="24"/>
      <w:lang w:eastAsia="ja-JP"/>
    </w:rPr>
  </w:style>
  <w:style w:type="character" w:customStyle="1" w:styleId="Heading3Char">
    <w:name w:val="Heading 3 Char"/>
    <w:basedOn w:val="DefaultParagraphFont"/>
    <w:link w:val="Heading3"/>
    <w:uiPriority w:val="9"/>
    <w:rsid w:val="00CD133B"/>
    <w:rPr>
      <w:rFonts w:ascii="Arial" w:hAnsi="Arial" w:cs="Arial"/>
      <w:b/>
      <w:color w:val="000000" w:themeColor="text1"/>
      <w:szCs w:val="24"/>
      <w:lang w:val="en-US"/>
    </w:rPr>
  </w:style>
  <w:style w:type="paragraph" w:customStyle="1" w:styleId="VETfootnote">
    <w:name w:val="VET footnote"/>
    <w:basedOn w:val="FootnoteText"/>
    <w:link w:val="VETfootnoteChar"/>
    <w:qFormat/>
    <w:rsid w:val="00CD133B"/>
    <w:pPr>
      <w:contextualSpacing/>
    </w:pPr>
    <w:rPr>
      <w:szCs w:val="18"/>
    </w:rPr>
  </w:style>
  <w:style w:type="character" w:customStyle="1" w:styleId="VETfootnoteChar">
    <w:name w:val="VET footnote Char"/>
    <w:basedOn w:val="FootnoteTextChar"/>
    <w:link w:val="VETfootnote"/>
    <w:rsid w:val="00CD133B"/>
    <w:rPr>
      <w:rFonts w:ascii="Arial" w:eastAsia="Cambria" w:hAnsi="Arial" w:cs="Arial"/>
      <w:color w:val="000000" w:themeColor="text1"/>
      <w:kern w:val="20"/>
      <w:sz w:val="18"/>
      <w:szCs w:val="18"/>
      <w:lang w:eastAsia="ja-JP"/>
    </w:rPr>
  </w:style>
  <w:style w:type="paragraph" w:customStyle="1" w:styleId="VETRecommendations">
    <w:name w:val="VET Recommendations"/>
    <w:basedOn w:val="VETbodycopy"/>
    <w:link w:val="VETRecommendationsChar"/>
    <w:qFormat/>
    <w:rsid w:val="0004179C"/>
    <w:pPr>
      <w:keepLines/>
      <w:spacing w:before="160"/>
      <w:ind w:left="720" w:hanging="720"/>
    </w:pPr>
  </w:style>
  <w:style w:type="character" w:customStyle="1" w:styleId="VETRecommendationsChar">
    <w:name w:val="VET Recommendations Char"/>
    <w:basedOn w:val="VETbodycopyChar"/>
    <w:link w:val="VETRecommendations"/>
    <w:rsid w:val="0004179C"/>
    <w:rPr>
      <w:rFonts w:ascii="Arial" w:hAnsi="Arial" w:cs="Arial"/>
      <w:color w:val="000000" w:themeColor="text1"/>
      <w:szCs w:val="24"/>
      <w:lang w:eastAsia="ja-JP"/>
    </w:rPr>
  </w:style>
  <w:style w:type="paragraph" w:customStyle="1" w:styleId="VETRecbulletpoints">
    <w:name w:val="VET Rec bullet points"/>
    <w:basedOn w:val="VETRecommendations"/>
    <w:qFormat/>
    <w:rsid w:val="0004179C"/>
    <w:pPr>
      <w:numPr>
        <w:numId w:val="1"/>
      </w:numPr>
      <w:tabs>
        <w:tab w:val="num" w:pos="360"/>
      </w:tabs>
      <w:spacing w:before="0"/>
      <w:ind w:left="1446" w:hanging="357"/>
      <w:contextualSpacing/>
    </w:pPr>
  </w:style>
  <w:style w:type="paragraph" w:styleId="BalloonText">
    <w:name w:val="Balloon Text"/>
    <w:basedOn w:val="Normal"/>
    <w:link w:val="BalloonTextChar"/>
    <w:uiPriority w:val="99"/>
    <w:semiHidden/>
    <w:unhideWhenUsed/>
    <w:rsid w:val="005A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2A"/>
    <w:rPr>
      <w:rFonts w:ascii="Segoe UI" w:hAnsi="Segoe UI" w:cs="Segoe UI"/>
      <w:sz w:val="18"/>
      <w:szCs w:val="18"/>
    </w:rPr>
  </w:style>
  <w:style w:type="table" w:styleId="TableGrid">
    <w:name w:val="Table Grid"/>
    <w:basedOn w:val="TableNormal"/>
    <w:uiPriority w:val="39"/>
    <w:rsid w:val="00B72C55"/>
    <w:pPr>
      <w:spacing w:after="0" w:line="240" w:lineRule="auto"/>
    </w:pPr>
    <w:rPr>
      <w:rFonts w:ascii="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TfootnotesChar">
    <w:name w:val="VET footnotes Char"/>
    <w:basedOn w:val="DefaultParagraphFont"/>
    <w:link w:val="VETfootnotes"/>
    <w:locked/>
    <w:rsid w:val="003B7C5B"/>
    <w:rPr>
      <w:rFonts w:ascii="Arial" w:hAnsi="Arial" w:cs="Arial"/>
      <w:sz w:val="18"/>
      <w:szCs w:val="18"/>
    </w:rPr>
  </w:style>
  <w:style w:type="paragraph" w:customStyle="1" w:styleId="VETfootnotes">
    <w:name w:val="VET footnotes"/>
    <w:basedOn w:val="Normal"/>
    <w:link w:val="VETfootnotesChar"/>
    <w:qFormat/>
    <w:rsid w:val="003B7C5B"/>
    <w:pPr>
      <w:spacing w:after="0" w:line="240" w:lineRule="auto"/>
    </w:pPr>
    <w:rPr>
      <w:rFonts w:ascii="Arial" w:hAnsi="Arial" w:cs="Arial"/>
      <w:sz w:val="18"/>
      <w:szCs w:val="18"/>
    </w:rPr>
  </w:style>
  <w:style w:type="paragraph" w:styleId="ListParagraph">
    <w:name w:val="List Paragraph"/>
    <w:aliases w:val="Recommendation,L,0Bullet,Bullet point,Bullets,Content descriptions,DDM Gen Text,Dot point 1.5 line spacing,Indented bullet,List Paragraph - bullets,List Paragraph Number,List Paragraph1,List Paragraph11,List Paragraph2,bullet point list"/>
    <w:basedOn w:val="Normal"/>
    <w:link w:val="ListParagraphChar"/>
    <w:uiPriority w:val="34"/>
    <w:qFormat/>
    <w:rsid w:val="00A27FF3"/>
    <w:pPr>
      <w:ind w:left="720"/>
      <w:contextualSpacing/>
    </w:pPr>
  </w:style>
  <w:style w:type="paragraph" w:customStyle="1" w:styleId="h2">
    <w:name w:val="h2"/>
    <w:basedOn w:val="Normal"/>
    <w:link w:val="h2Char"/>
    <w:qFormat/>
    <w:rsid w:val="006C1524"/>
    <w:pPr>
      <w:tabs>
        <w:tab w:val="left" w:pos="2731"/>
      </w:tabs>
      <w:spacing w:before="360" w:after="360" w:line="240" w:lineRule="auto"/>
      <w:outlineLvl w:val="1"/>
    </w:pPr>
    <w:rPr>
      <w:rFonts w:ascii="Arial" w:hAnsi="Arial" w:cs="Arial"/>
      <w:b/>
      <w:color w:val="004B88"/>
      <w:sz w:val="36"/>
      <w:szCs w:val="24"/>
      <w:lang w:val="en-US" w:eastAsia="ja-JP"/>
    </w:rPr>
  </w:style>
  <w:style w:type="paragraph" w:customStyle="1" w:styleId="h3">
    <w:name w:val="h3"/>
    <w:basedOn w:val="Heading2"/>
    <w:link w:val="h3Char"/>
    <w:qFormat/>
    <w:rsid w:val="006C1524"/>
    <w:pPr>
      <w:keepLines w:val="0"/>
      <w:spacing w:before="280" w:after="280"/>
      <w:outlineLvl w:val="2"/>
    </w:pPr>
    <w:rPr>
      <w:rFonts w:ascii="Arial" w:hAnsi="Arial" w:cs="Arial"/>
      <w:color w:val="000000" w:themeColor="text1"/>
      <w:sz w:val="32"/>
      <w:szCs w:val="32"/>
      <w:lang w:eastAsia="ja-JP"/>
    </w:rPr>
  </w:style>
  <w:style w:type="character" w:customStyle="1" w:styleId="h2Char">
    <w:name w:val="h2 Char"/>
    <w:basedOn w:val="DefaultParagraphFont"/>
    <w:link w:val="h2"/>
    <w:rsid w:val="006C1524"/>
    <w:rPr>
      <w:rFonts w:ascii="Arial" w:hAnsi="Arial" w:cs="Arial"/>
      <w:b/>
      <w:color w:val="004B88"/>
      <w:sz w:val="36"/>
      <w:szCs w:val="24"/>
      <w:lang w:val="en-US" w:eastAsia="ja-JP"/>
    </w:rPr>
  </w:style>
  <w:style w:type="character" w:customStyle="1" w:styleId="h3Char">
    <w:name w:val="h3 Char"/>
    <w:basedOn w:val="Heading2Char"/>
    <w:link w:val="h3"/>
    <w:rsid w:val="006C1524"/>
    <w:rPr>
      <w:rFonts w:ascii="Arial" w:eastAsiaTheme="majorEastAsia" w:hAnsi="Arial" w:cs="Arial"/>
      <w:color w:val="000000" w:themeColor="text1"/>
      <w:sz w:val="32"/>
      <w:szCs w:val="32"/>
      <w:lang w:eastAsia="ja-JP"/>
    </w:rPr>
  </w:style>
  <w:style w:type="character" w:customStyle="1" w:styleId="Heading2Char">
    <w:name w:val="Heading 2 Char"/>
    <w:basedOn w:val="DefaultParagraphFont"/>
    <w:link w:val="Heading2"/>
    <w:uiPriority w:val="9"/>
    <w:rsid w:val="006C152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C1F8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0C434C"/>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0C434C"/>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BodyTextChar">
    <w:name w:val="Body Text Char"/>
    <w:basedOn w:val="DefaultParagraphFont"/>
    <w:link w:val="BodyText"/>
    <w:uiPriority w:val="1"/>
    <w:rsid w:val="000C434C"/>
    <w:rPr>
      <w:rFonts w:ascii="Times New Roman" w:eastAsia="Times New Roman" w:hAnsi="Times New Roman" w:cs="Times New Roman"/>
      <w:sz w:val="24"/>
      <w:szCs w:val="24"/>
      <w:lang w:val="en-GB" w:eastAsia="en-GB" w:bidi="en-GB"/>
    </w:rPr>
  </w:style>
  <w:style w:type="character" w:styleId="Hyperlink">
    <w:name w:val="Hyperlink"/>
    <w:basedOn w:val="DefaultParagraphFont"/>
    <w:uiPriority w:val="99"/>
    <w:unhideWhenUsed/>
    <w:rsid w:val="00163155"/>
    <w:rPr>
      <w:color w:val="0563C1" w:themeColor="hyperlink"/>
      <w:u w:val="single"/>
    </w:rPr>
  </w:style>
  <w:style w:type="paragraph" w:styleId="NormalWeb">
    <w:name w:val="Normal (Web)"/>
    <w:basedOn w:val="Normal"/>
    <w:uiPriority w:val="99"/>
    <w:unhideWhenUsed/>
    <w:rsid w:val="00855E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855E4D"/>
    <w:pPr>
      <w:spacing w:after="0" w:line="240" w:lineRule="auto"/>
    </w:pPr>
    <w:rPr>
      <w:sz w:val="20"/>
      <w:szCs w:val="20"/>
    </w:rPr>
  </w:style>
  <w:style w:type="character" w:customStyle="1" w:styleId="EndnoteTextChar">
    <w:name w:val="Endnote Text Char"/>
    <w:basedOn w:val="DefaultParagraphFont"/>
    <w:link w:val="EndnoteText"/>
    <w:uiPriority w:val="99"/>
    <w:rsid w:val="00855E4D"/>
    <w:rPr>
      <w:sz w:val="20"/>
      <w:szCs w:val="20"/>
    </w:rPr>
  </w:style>
  <w:style w:type="character" w:styleId="EndnoteReference">
    <w:name w:val="endnote reference"/>
    <w:basedOn w:val="DefaultParagraphFont"/>
    <w:uiPriority w:val="99"/>
    <w:semiHidden/>
    <w:unhideWhenUsed/>
    <w:rsid w:val="00855E4D"/>
    <w:rPr>
      <w:vertAlign w:val="superscript"/>
    </w:rPr>
  </w:style>
  <w:style w:type="paragraph" w:customStyle="1" w:styleId="COESTopicHeadingSub">
    <w:name w:val="COES Topic Heading Sub"/>
    <w:basedOn w:val="Normal"/>
    <w:rsid w:val="008559BE"/>
    <w:pPr>
      <w:spacing w:after="120" w:line="240" w:lineRule="auto"/>
      <w:jc w:val="center"/>
    </w:pPr>
    <w:rPr>
      <w:rFonts w:ascii="Arial" w:eastAsia="Cambria" w:hAnsi="Arial" w:cs="Arial"/>
      <w:b/>
      <w:bCs/>
      <w:sz w:val="28"/>
      <w:szCs w:val="28"/>
    </w:rPr>
  </w:style>
  <w:style w:type="paragraph" w:customStyle="1" w:styleId="COESBody">
    <w:name w:val="COES Body"/>
    <w:basedOn w:val="Normal"/>
    <w:uiPriority w:val="99"/>
    <w:rsid w:val="008559BE"/>
    <w:pPr>
      <w:spacing w:after="0" w:line="276" w:lineRule="auto"/>
      <w:jc w:val="both"/>
    </w:pPr>
    <w:rPr>
      <w:rFonts w:ascii="Arial" w:eastAsia="Cambria" w:hAnsi="Arial" w:cs="Arial"/>
      <w:sz w:val="20"/>
      <w:szCs w:val="20"/>
    </w:rPr>
  </w:style>
  <w:style w:type="character" w:styleId="Emphasis">
    <w:name w:val="Emphasis"/>
    <w:uiPriority w:val="20"/>
    <w:qFormat/>
    <w:rsid w:val="00EC6CE5"/>
    <w:rPr>
      <w:i/>
      <w:iCs/>
    </w:rPr>
  </w:style>
  <w:style w:type="paragraph" w:styleId="Caption">
    <w:name w:val="caption"/>
    <w:basedOn w:val="Normal"/>
    <w:next w:val="Normal"/>
    <w:uiPriority w:val="35"/>
    <w:unhideWhenUsed/>
    <w:qFormat/>
    <w:rsid w:val="00EC6CE5"/>
    <w:pPr>
      <w:spacing w:after="200" w:line="240" w:lineRule="auto"/>
    </w:pPr>
    <w:rPr>
      <w:b/>
      <w:bCs/>
      <w:color w:val="5B9BD5" w:themeColor="accent1"/>
      <w:sz w:val="18"/>
      <w:szCs w:val="18"/>
    </w:rPr>
  </w:style>
  <w:style w:type="character" w:customStyle="1" w:styleId="ListParagraphChar">
    <w:name w:val="List Paragraph Char"/>
    <w:aliases w:val="Recommendation Char,L Char,0Bullet Char,Bullet point Char,Bullets Char,Content descriptions Char,DDM Gen Text Char,Dot point 1.5 line spacing Char,Indented bullet Char,List Paragraph - bullets Char,List Paragraph Number Char"/>
    <w:link w:val="ListParagraph"/>
    <w:uiPriority w:val="34"/>
    <w:locked/>
    <w:rsid w:val="006D2242"/>
  </w:style>
  <w:style w:type="paragraph" w:customStyle="1" w:styleId="Default">
    <w:name w:val="Default"/>
    <w:rsid w:val="00E66125"/>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E66125"/>
    <w:rPr>
      <w:b/>
      <w:bCs/>
    </w:rPr>
  </w:style>
  <w:style w:type="character" w:customStyle="1" w:styleId="apple-converted-space">
    <w:name w:val="apple-converted-space"/>
    <w:basedOn w:val="DefaultParagraphFont"/>
    <w:rsid w:val="009573B7"/>
  </w:style>
  <w:style w:type="character" w:customStyle="1" w:styleId="nlmarticle-title">
    <w:name w:val="nlm_article-title"/>
    <w:basedOn w:val="DefaultParagraphFont"/>
    <w:rsid w:val="009573B7"/>
  </w:style>
  <w:style w:type="character" w:customStyle="1" w:styleId="nlmstring-name">
    <w:name w:val="nlm_string-name"/>
    <w:basedOn w:val="DefaultParagraphFont"/>
    <w:rsid w:val="009573B7"/>
  </w:style>
  <w:style w:type="character" w:customStyle="1" w:styleId="nlmyear">
    <w:name w:val="nlm_year"/>
    <w:basedOn w:val="DefaultParagraphFont"/>
    <w:rsid w:val="009573B7"/>
  </w:style>
  <w:style w:type="character" w:customStyle="1" w:styleId="nlmfpage">
    <w:name w:val="nlm_fpage"/>
    <w:basedOn w:val="DefaultParagraphFont"/>
    <w:rsid w:val="009573B7"/>
  </w:style>
  <w:style w:type="character" w:customStyle="1" w:styleId="nlmlpage">
    <w:name w:val="nlm_lpage"/>
    <w:basedOn w:val="DefaultParagraphFont"/>
    <w:rsid w:val="009573B7"/>
  </w:style>
  <w:style w:type="character" w:customStyle="1" w:styleId="booktitle">
    <w:name w:val="booktitle"/>
    <w:basedOn w:val="DefaultParagraphFont"/>
    <w:rsid w:val="009573B7"/>
  </w:style>
  <w:style w:type="character" w:customStyle="1" w:styleId="authorsname">
    <w:name w:val="authors__name"/>
    <w:basedOn w:val="DefaultParagraphFont"/>
    <w:rsid w:val="009573B7"/>
  </w:style>
  <w:style w:type="character" w:customStyle="1" w:styleId="a-size-large">
    <w:name w:val="a-size-large"/>
    <w:basedOn w:val="DefaultParagraphFont"/>
    <w:rsid w:val="009573B7"/>
  </w:style>
  <w:style w:type="character" w:customStyle="1" w:styleId="a-size-extra-large">
    <w:name w:val="a-size-extra-large"/>
    <w:basedOn w:val="DefaultParagraphFont"/>
    <w:rsid w:val="009573B7"/>
  </w:style>
  <w:style w:type="paragraph" w:styleId="PlainText">
    <w:name w:val="Plain Text"/>
    <w:basedOn w:val="Normal"/>
    <w:link w:val="PlainTextChar"/>
    <w:uiPriority w:val="99"/>
    <w:unhideWhenUsed/>
    <w:rsid w:val="00E65818"/>
    <w:pPr>
      <w:spacing w:after="0" w:line="240" w:lineRule="auto"/>
    </w:pPr>
    <w:rPr>
      <w:rFonts w:ascii="Calibri" w:eastAsia="Times New Roman" w:hAnsi="Calibri" w:cs="Times New Roman"/>
      <w:szCs w:val="21"/>
      <w:lang w:val="x-none"/>
    </w:rPr>
  </w:style>
  <w:style w:type="character" w:customStyle="1" w:styleId="PlainTextChar">
    <w:name w:val="Plain Text Char"/>
    <w:basedOn w:val="DefaultParagraphFont"/>
    <w:link w:val="PlainText"/>
    <w:uiPriority w:val="99"/>
    <w:rsid w:val="00E65818"/>
    <w:rPr>
      <w:rFonts w:ascii="Calibri" w:eastAsia="Times New Roman" w:hAnsi="Calibri" w:cs="Times New Roman"/>
      <w:szCs w:val="21"/>
      <w:lang w:val="x-none"/>
    </w:rPr>
  </w:style>
  <w:style w:type="paragraph" w:customStyle="1" w:styleId="BulletsL2">
    <w:name w:val="Bullets L2"/>
    <w:basedOn w:val="Normal"/>
    <w:link w:val="BulletsL2Char"/>
    <w:qFormat/>
    <w:rsid w:val="000F6DFE"/>
    <w:pPr>
      <w:numPr>
        <w:numId w:val="2"/>
      </w:numPr>
      <w:spacing w:before="40" w:after="120" w:line="280" w:lineRule="exact"/>
    </w:pPr>
    <w:rPr>
      <w:rFonts w:ascii="Arial" w:hAnsi="Arial"/>
      <w:lang w:val="en-US"/>
    </w:rPr>
  </w:style>
  <w:style w:type="character" w:customStyle="1" w:styleId="BulletsL2Char">
    <w:name w:val="Bullets L2 Char"/>
    <w:basedOn w:val="DefaultParagraphFont"/>
    <w:link w:val="BulletsL2"/>
    <w:rsid w:val="000F6DFE"/>
    <w:rPr>
      <w:rFonts w:ascii="Arial" w:hAnsi="Arial"/>
      <w:lang w:val="en-US"/>
    </w:rPr>
  </w:style>
  <w:style w:type="paragraph" w:styleId="NoSpacing">
    <w:name w:val="No Spacing"/>
    <w:uiPriority w:val="1"/>
    <w:qFormat/>
    <w:rsid w:val="000F6DFE"/>
    <w:pPr>
      <w:spacing w:after="0" w:line="240" w:lineRule="auto"/>
    </w:pPr>
    <w:rPr>
      <w:rFonts w:ascii="Calibri" w:eastAsia="Calibri" w:hAnsi="Calibri" w:cs="Times New Roman"/>
    </w:rPr>
  </w:style>
  <w:style w:type="character" w:styleId="HTMLCite">
    <w:name w:val="HTML Cite"/>
    <w:basedOn w:val="DefaultParagraphFont"/>
    <w:uiPriority w:val="99"/>
    <w:semiHidden/>
    <w:unhideWhenUsed/>
    <w:rsid w:val="000F6DFE"/>
    <w:rPr>
      <w:i w:val="0"/>
      <w:iCs w:val="0"/>
      <w:color w:val="388222"/>
    </w:rPr>
  </w:style>
  <w:style w:type="paragraph" w:customStyle="1" w:styleId="COESHeading1">
    <w:name w:val="COES Heading 1"/>
    <w:basedOn w:val="Normal"/>
    <w:uiPriority w:val="99"/>
    <w:rsid w:val="008D31E9"/>
    <w:pPr>
      <w:spacing w:after="120" w:line="240" w:lineRule="auto"/>
    </w:pPr>
    <w:rPr>
      <w:rFonts w:ascii="Arial" w:eastAsia="Cambria" w:hAnsi="Arial" w:cs="Arial"/>
      <w:b/>
      <w:bCs/>
      <w:sz w:val="24"/>
      <w:szCs w:val="24"/>
    </w:rPr>
  </w:style>
  <w:style w:type="paragraph" w:customStyle="1" w:styleId="COESHeading3">
    <w:name w:val="COES Heading 3"/>
    <w:basedOn w:val="Normal"/>
    <w:uiPriority w:val="99"/>
    <w:rsid w:val="008D31E9"/>
    <w:pPr>
      <w:spacing w:after="0" w:line="240" w:lineRule="auto"/>
    </w:pPr>
    <w:rPr>
      <w:rFonts w:ascii="Arial" w:eastAsia="Cambria" w:hAnsi="Arial" w:cs="Arial"/>
      <w:u w:val="single"/>
    </w:rPr>
  </w:style>
  <w:style w:type="paragraph" w:customStyle="1" w:styleId="Attach">
    <w:name w:val="Attach"/>
    <w:basedOn w:val="Normal"/>
    <w:qFormat/>
    <w:rsid w:val="00A215A0"/>
    <w:pPr>
      <w:spacing w:after="0" w:line="240" w:lineRule="auto"/>
    </w:pPr>
    <w:rPr>
      <w:rFonts w:ascii="Franklin Gothic Book" w:hAnsi="Franklin Gothic Book" w:cs="Calibri"/>
      <w:color w:val="000000" w:themeColor="text1"/>
      <w:szCs w:val="21"/>
      <w:lang w:val="en-US"/>
    </w:rPr>
  </w:style>
  <w:style w:type="paragraph" w:customStyle="1" w:styleId="AttachMedium">
    <w:name w:val="Attach Medium"/>
    <w:basedOn w:val="Attach"/>
    <w:qFormat/>
    <w:rsid w:val="00A215A0"/>
    <w:rPr>
      <w:rFonts w:ascii="Franklin Gothic Medium" w:hAnsi="Franklin Gothic Medium"/>
    </w:rPr>
  </w:style>
  <w:style w:type="paragraph" w:customStyle="1" w:styleId="trt0xe">
    <w:name w:val="trt0xe"/>
    <w:basedOn w:val="Normal"/>
    <w:rsid w:val="00902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f4">
    <w:name w:val="ff4"/>
    <w:basedOn w:val="DefaultParagraphFont"/>
    <w:rsid w:val="00902254"/>
  </w:style>
  <w:style w:type="character" w:customStyle="1" w:styleId="ff3">
    <w:name w:val="ff3"/>
    <w:basedOn w:val="DefaultParagraphFont"/>
    <w:rsid w:val="00902254"/>
  </w:style>
  <w:style w:type="character" w:customStyle="1" w:styleId="ff1">
    <w:name w:val="ff1"/>
    <w:basedOn w:val="DefaultParagraphFont"/>
    <w:rsid w:val="00902254"/>
  </w:style>
  <w:style w:type="character" w:customStyle="1" w:styleId="il">
    <w:name w:val="il"/>
    <w:basedOn w:val="DefaultParagraphFont"/>
    <w:rsid w:val="00902254"/>
  </w:style>
  <w:style w:type="character" w:customStyle="1" w:styleId="pspdfkit-6um8mrhfmv4j3nvtw9x41bv9fb">
    <w:name w:val="pspdfkit-6um8mrhfmv4j3nvtw9x41bv9fb"/>
    <w:basedOn w:val="DefaultParagraphFont"/>
    <w:rsid w:val="00F0176D"/>
  </w:style>
  <w:style w:type="paragraph" w:styleId="Bibliography">
    <w:name w:val="Bibliography"/>
    <w:basedOn w:val="Normal"/>
    <w:next w:val="Normal"/>
    <w:uiPriority w:val="37"/>
    <w:unhideWhenUsed/>
    <w:rsid w:val="00835F36"/>
    <w:pPr>
      <w:widowControl w:val="0"/>
      <w:autoSpaceDE w:val="0"/>
      <w:autoSpaceDN w:val="0"/>
      <w:spacing w:after="0" w:line="480" w:lineRule="auto"/>
      <w:ind w:left="720" w:hanging="720"/>
    </w:pPr>
    <w:rPr>
      <w:rFonts w:ascii="Arial" w:eastAsia="Arial" w:hAnsi="Arial" w:cs="Arial"/>
      <w:lang w:val="en-US"/>
    </w:rPr>
  </w:style>
  <w:style w:type="character" w:customStyle="1" w:styleId="inline">
    <w:name w:val="inline"/>
    <w:basedOn w:val="DefaultParagraphFont"/>
    <w:rsid w:val="00835F36"/>
  </w:style>
  <w:style w:type="paragraph" w:customStyle="1" w:styleId="abstract">
    <w:name w:val="abstract"/>
    <w:basedOn w:val="Normal"/>
    <w:rsid w:val="00831E57"/>
    <w:pPr>
      <w:spacing w:before="240" w:after="240" w:line="240" w:lineRule="auto"/>
      <w:ind w:left="567" w:right="567"/>
      <w:jc w:val="both"/>
    </w:pPr>
    <w:rPr>
      <w:rFonts w:ascii="Times New Roman" w:eastAsia="Times New Roman" w:hAnsi="Times New Roman" w:cs="Times New Roman"/>
      <w:i/>
      <w:sz w:val="20"/>
      <w:szCs w:val="20"/>
      <w:lang w:val="en-GB"/>
    </w:rPr>
  </w:style>
  <w:style w:type="paragraph" w:styleId="NormalIndent">
    <w:name w:val="Normal Indent"/>
    <w:basedOn w:val="Normal"/>
    <w:rsid w:val="00831E57"/>
    <w:pPr>
      <w:spacing w:after="0" w:line="240" w:lineRule="auto"/>
      <w:ind w:firstLine="340"/>
      <w:jc w:val="both"/>
    </w:pPr>
    <w:rPr>
      <w:rFonts w:ascii="Times New Roman" w:eastAsia="Times New Roman" w:hAnsi="Times New Roman" w:cs="Times New Roman"/>
      <w:sz w:val="20"/>
      <w:szCs w:val="20"/>
      <w:lang w:val="en-GB"/>
    </w:rPr>
  </w:style>
  <w:style w:type="paragraph" w:styleId="Title">
    <w:name w:val="Title"/>
    <w:basedOn w:val="Normal"/>
    <w:next w:val="Normal"/>
    <w:link w:val="TitleChar"/>
    <w:uiPriority w:val="10"/>
    <w:qFormat/>
    <w:rsid w:val="00831E57"/>
    <w:pPr>
      <w:spacing w:after="0" w:line="240" w:lineRule="auto"/>
    </w:pPr>
    <w:rPr>
      <w:rFonts w:ascii="Times New Roman" w:hAnsi="Times New Roman" w:cs="Times New Roman"/>
      <w:b/>
      <w:sz w:val="32"/>
      <w:szCs w:val="20"/>
    </w:rPr>
  </w:style>
  <w:style w:type="character" w:customStyle="1" w:styleId="TitleChar">
    <w:name w:val="Title Char"/>
    <w:basedOn w:val="DefaultParagraphFont"/>
    <w:link w:val="Title"/>
    <w:uiPriority w:val="10"/>
    <w:rsid w:val="00831E57"/>
    <w:rPr>
      <w:rFonts w:ascii="Times New Roman" w:eastAsiaTheme="minorEastAsia" w:hAnsi="Times New Roman" w:cs="Times New Roman"/>
      <w:b/>
      <w:sz w:val="32"/>
      <w:szCs w:val="20"/>
    </w:rPr>
  </w:style>
  <w:style w:type="paragraph" w:customStyle="1" w:styleId="Authornames">
    <w:name w:val="Author names"/>
    <w:basedOn w:val="Normal"/>
    <w:next w:val="Normal"/>
    <w:qFormat/>
    <w:rsid w:val="00831E57"/>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831E57"/>
    <w:pPr>
      <w:spacing w:before="240" w:after="0" w:line="360" w:lineRule="auto"/>
    </w:pPr>
    <w:rPr>
      <w:rFonts w:ascii="Times New Roman" w:eastAsia="Times New Roman" w:hAnsi="Times New Roman" w:cs="Times New Roman"/>
      <w:i/>
      <w:sz w:val="24"/>
      <w:szCs w:val="24"/>
      <w:lang w:val="en-GB" w:eastAsia="en-GB"/>
    </w:rPr>
  </w:style>
  <w:style w:type="character" w:customStyle="1" w:styleId="UnresolvedMention1">
    <w:name w:val="Unresolved Mention1"/>
    <w:basedOn w:val="DefaultParagraphFont"/>
    <w:uiPriority w:val="99"/>
    <w:semiHidden/>
    <w:unhideWhenUsed/>
    <w:rsid w:val="00831E57"/>
    <w:rPr>
      <w:color w:val="605E5C"/>
      <w:shd w:val="clear" w:color="auto" w:fill="E1DFDD"/>
    </w:rPr>
  </w:style>
  <w:style w:type="paragraph" w:styleId="Quote">
    <w:name w:val="Quote"/>
    <w:basedOn w:val="Normal"/>
    <w:next w:val="Normal"/>
    <w:link w:val="QuoteChar"/>
    <w:uiPriority w:val="29"/>
    <w:qFormat/>
    <w:rsid w:val="00831E57"/>
    <w:pPr>
      <w:spacing w:before="120" w:after="120" w:line="240" w:lineRule="auto"/>
      <w:ind w:left="720"/>
      <w:contextualSpacing/>
      <w:jc w:val="both"/>
    </w:pPr>
    <w:rPr>
      <w:rFonts w:ascii="Times New Roman" w:hAnsi="Times New Roman" w:cs="Times New Roman"/>
      <w:i/>
      <w:iCs/>
      <w:sz w:val="20"/>
      <w:szCs w:val="20"/>
    </w:rPr>
  </w:style>
  <w:style w:type="character" w:customStyle="1" w:styleId="QuoteChar">
    <w:name w:val="Quote Char"/>
    <w:basedOn w:val="DefaultParagraphFont"/>
    <w:link w:val="Quote"/>
    <w:uiPriority w:val="29"/>
    <w:rsid w:val="00831E57"/>
    <w:rPr>
      <w:rFonts w:ascii="Times New Roman" w:eastAsiaTheme="minorEastAsia" w:hAnsi="Times New Roman" w:cs="Times New Roman"/>
      <w:i/>
      <w:iCs/>
      <w:sz w:val="20"/>
      <w:szCs w:val="20"/>
    </w:rPr>
  </w:style>
  <w:style w:type="paragraph" w:styleId="Revision">
    <w:name w:val="Revision"/>
    <w:hidden/>
    <w:uiPriority w:val="99"/>
    <w:semiHidden/>
    <w:rsid w:val="00831E57"/>
    <w:pPr>
      <w:spacing w:after="0" w:line="240" w:lineRule="auto"/>
    </w:pPr>
    <w:rPr>
      <w:rFonts w:ascii="Times New Roman" w:hAnsi="Times New Roman"/>
      <w:sz w:val="20"/>
      <w:lang w:val="en-US"/>
    </w:rPr>
  </w:style>
  <w:style w:type="paragraph" w:styleId="CommentText">
    <w:name w:val="annotation text"/>
    <w:basedOn w:val="Normal"/>
    <w:link w:val="CommentTextChar"/>
    <w:uiPriority w:val="99"/>
    <w:semiHidden/>
    <w:unhideWhenUsed/>
    <w:rsid w:val="00831E57"/>
    <w:pPr>
      <w:spacing w:after="200"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831E57"/>
    <w:rPr>
      <w:rFonts w:ascii="Times New Roman" w:eastAsiaTheme="minorEastAsia" w:hAnsi="Times New Roman"/>
      <w:sz w:val="20"/>
      <w:szCs w:val="20"/>
      <w:lang w:val="en-US"/>
    </w:rPr>
  </w:style>
  <w:style w:type="character" w:styleId="CommentReference">
    <w:name w:val="annotation reference"/>
    <w:basedOn w:val="DefaultParagraphFont"/>
    <w:uiPriority w:val="99"/>
    <w:semiHidden/>
    <w:unhideWhenUsed/>
    <w:rsid w:val="00831E57"/>
    <w:rPr>
      <w:sz w:val="16"/>
      <w:szCs w:val="16"/>
    </w:rPr>
  </w:style>
  <w:style w:type="paragraph" w:styleId="CommentSubject">
    <w:name w:val="annotation subject"/>
    <w:basedOn w:val="CommentText"/>
    <w:next w:val="CommentText"/>
    <w:link w:val="CommentSubjectChar"/>
    <w:uiPriority w:val="99"/>
    <w:semiHidden/>
    <w:unhideWhenUsed/>
    <w:rsid w:val="00831E57"/>
    <w:rPr>
      <w:b/>
      <w:bCs/>
    </w:rPr>
  </w:style>
  <w:style w:type="character" w:customStyle="1" w:styleId="CommentSubjectChar">
    <w:name w:val="Comment Subject Char"/>
    <w:basedOn w:val="CommentTextChar"/>
    <w:link w:val="CommentSubject"/>
    <w:uiPriority w:val="99"/>
    <w:semiHidden/>
    <w:rsid w:val="00831E57"/>
    <w:rPr>
      <w:rFonts w:ascii="Times New Roman" w:eastAsiaTheme="minorEastAsia" w:hAnsi="Times New Roman"/>
      <w:b/>
      <w:bCs/>
      <w:sz w:val="20"/>
      <w:szCs w:val="20"/>
      <w:lang w:val="en-US"/>
    </w:rPr>
  </w:style>
  <w:style w:type="paragraph" w:customStyle="1" w:styleId="1Para">
    <w:name w:val="1_Para"/>
    <w:basedOn w:val="Normal"/>
    <w:qFormat/>
    <w:rsid w:val="00831E57"/>
    <w:pPr>
      <w:spacing w:before="120" w:after="240" w:line="360" w:lineRule="auto"/>
      <w:ind w:firstLine="720"/>
    </w:pPr>
    <w:rPr>
      <w:rFonts w:ascii="Arial" w:hAnsi="Arial"/>
      <w:lang w:val="en-CA"/>
    </w:rPr>
  </w:style>
  <w:style w:type="character" w:styleId="FollowedHyperlink">
    <w:name w:val="FollowedHyperlink"/>
    <w:basedOn w:val="DefaultParagraphFont"/>
    <w:uiPriority w:val="99"/>
    <w:semiHidden/>
    <w:unhideWhenUsed/>
    <w:rsid w:val="00831E57"/>
    <w:rPr>
      <w:color w:val="954F72" w:themeColor="followedHyperlink"/>
      <w:u w:val="single"/>
    </w:rPr>
  </w:style>
  <w:style w:type="paragraph" w:customStyle="1" w:styleId="dx-doi">
    <w:name w:val="dx-doi"/>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va-e-listitem">
    <w:name w:val="nova-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dentifier">
    <w:name w:val="identifier"/>
    <w:basedOn w:val="DefaultParagraphFont"/>
    <w:rsid w:val="00D7725C"/>
  </w:style>
  <w:style w:type="paragraph" w:customStyle="1" w:styleId="nova-legacy-e-listitem">
    <w:name w:val="nova-legacy-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Numbered">
    <w:name w:val="B-Numbered"/>
    <w:basedOn w:val="Normal"/>
    <w:rsid w:val="00D7725C"/>
    <w:pPr>
      <w:tabs>
        <w:tab w:val="left" w:pos="630"/>
      </w:tabs>
      <w:spacing w:after="240" w:line="240" w:lineRule="auto"/>
      <w:ind w:left="630" w:hanging="630"/>
      <w:jc w:val="both"/>
    </w:pPr>
    <w:rPr>
      <w:rFonts w:ascii="Times New Roman" w:eastAsia="Times New Roman" w:hAnsi="Times New Roman" w:cs="Times New Roman"/>
      <w:sz w:val="20"/>
      <w:szCs w:val="20"/>
    </w:rPr>
  </w:style>
  <w:style w:type="paragraph" w:styleId="TOC1">
    <w:name w:val="toc 1"/>
    <w:basedOn w:val="Normal"/>
    <w:next w:val="Normal"/>
    <w:autoRedefine/>
    <w:uiPriority w:val="39"/>
    <w:semiHidden/>
    <w:unhideWhenUsed/>
    <w:rsid w:val="00DB3919"/>
    <w:pPr>
      <w:widowControl w:val="0"/>
      <w:spacing w:after="0" w:line="240" w:lineRule="auto"/>
      <w:jc w:val="both"/>
    </w:pPr>
    <w:rPr>
      <w:kern w:val="2"/>
      <w:sz w:val="21"/>
      <w:lang w:eastAsia="zh-CN"/>
    </w:rPr>
  </w:style>
  <w:style w:type="paragraph" w:styleId="TOC2">
    <w:name w:val="toc 2"/>
    <w:basedOn w:val="Normal"/>
    <w:next w:val="Normal"/>
    <w:autoRedefine/>
    <w:uiPriority w:val="39"/>
    <w:semiHidden/>
    <w:unhideWhenUsed/>
    <w:rsid w:val="00DB3919"/>
    <w:pPr>
      <w:widowControl w:val="0"/>
      <w:spacing w:after="0" w:line="240" w:lineRule="auto"/>
      <w:ind w:leftChars="200" w:left="420"/>
      <w:jc w:val="both"/>
    </w:pPr>
    <w:rPr>
      <w:kern w:val="2"/>
      <w:sz w:val="21"/>
      <w:lang w:eastAsia="zh-CN"/>
    </w:rPr>
  </w:style>
  <w:style w:type="paragraph" w:styleId="TOCHeading">
    <w:name w:val="TOC Heading"/>
    <w:basedOn w:val="Heading1"/>
    <w:next w:val="Normal"/>
    <w:uiPriority w:val="39"/>
    <w:semiHidden/>
    <w:unhideWhenUsed/>
    <w:qFormat/>
    <w:rsid w:val="00DB3919"/>
    <w:pPr>
      <w:spacing w:line="256" w:lineRule="auto"/>
      <w:outlineLvl w:val="9"/>
    </w:pPr>
    <w:rPr>
      <w:lang w:eastAsia="zh-CN"/>
    </w:rPr>
  </w:style>
  <w:style w:type="paragraph" w:customStyle="1" w:styleId="TableParagraph">
    <w:name w:val="Table Paragraph"/>
    <w:basedOn w:val="Normal"/>
    <w:uiPriority w:val="1"/>
    <w:qFormat/>
    <w:rsid w:val="00DB3919"/>
    <w:pPr>
      <w:widowControl w:val="0"/>
      <w:autoSpaceDE w:val="0"/>
      <w:autoSpaceDN w:val="0"/>
      <w:spacing w:before="40" w:after="0" w:line="240" w:lineRule="auto"/>
    </w:pPr>
    <w:rPr>
      <w:rFonts w:ascii="Palatino Linotype" w:eastAsia="Palatino Linotype" w:hAnsi="Palatino Linotype" w:cs="Palatino Linotype"/>
      <w:lang w:val="en-US"/>
    </w:rPr>
  </w:style>
  <w:style w:type="character" w:customStyle="1" w:styleId="authors">
    <w:name w:val="authors"/>
    <w:basedOn w:val="DefaultParagraphFont"/>
    <w:rsid w:val="00C15D46"/>
  </w:style>
  <w:style w:type="character" w:customStyle="1" w:styleId="Date1">
    <w:name w:val="Date1"/>
    <w:basedOn w:val="DefaultParagraphFont"/>
    <w:rsid w:val="00C15D46"/>
  </w:style>
  <w:style w:type="character" w:customStyle="1" w:styleId="arttitle">
    <w:name w:val="art_title"/>
    <w:basedOn w:val="DefaultParagraphFont"/>
    <w:rsid w:val="00C15D46"/>
  </w:style>
  <w:style w:type="character" w:customStyle="1" w:styleId="serialtitle">
    <w:name w:val="serial_title"/>
    <w:basedOn w:val="DefaultParagraphFont"/>
    <w:rsid w:val="00C15D46"/>
  </w:style>
  <w:style w:type="character" w:customStyle="1" w:styleId="volumeissue">
    <w:name w:val="volume_issue"/>
    <w:basedOn w:val="DefaultParagraphFont"/>
    <w:rsid w:val="00C15D46"/>
  </w:style>
  <w:style w:type="character" w:customStyle="1" w:styleId="pagerange">
    <w:name w:val="page_range"/>
    <w:basedOn w:val="DefaultParagraphFont"/>
    <w:rsid w:val="00C15D46"/>
  </w:style>
  <w:style w:type="character" w:customStyle="1" w:styleId="doilink">
    <w:name w:val="doi_link"/>
    <w:basedOn w:val="DefaultParagraphFont"/>
    <w:rsid w:val="00C15D46"/>
  </w:style>
  <w:style w:type="character" w:customStyle="1" w:styleId="hlfld-contribauthor">
    <w:name w:val="hlfld-contribauthor"/>
    <w:basedOn w:val="DefaultParagraphFont"/>
    <w:rsid w:val="00C15D46"/>
  </w:style>
  <w:style w:type="character" w:customStyle="1" w:styleId="nlmgiven-names">
    <w:name w:val="nlm_given-names"/>
    <w:basedOn w:val="DefaultParagraphFont"/>
    <w:rsid w:val="00C15D46"/>
  </w:style>
  <w:style w:type="character" w:customStyle="1" w:styleId="nlmpub-id">
    <w:name w:val="nlm_pub-id"/>
    <w:basedOn w:val="DefaultParagraphFont"/>
    <w:rsid w:val="00C15D46"/>
  </w:style>
  <w:style w:type="character" w:customStyle="1" w:styleId="title-text">
    <w:name w:val="title-text"/>
    <w:basedOn w:val="DefaultParagraphFont"/>
    <w:rsid w:val="00F46C6E"/>
  </w:style>
  <w:style w:type="character" w:customStyle="1" w:styleId="sr-only">
    <w:name w:val="sr-only"/>
    <w:basedOn w:val="DefaultParagraphFont"/>
    <w:rsid w:val="00F46C6E"/>
  </w:style>
  <w:style w:type="character" w:customStyle="1" w:styleId="text">
    <w:name w:val="text"/>
    <w:basedOn w:val="DefaultParagraphFont"/>
    <w:rsid w:val="00F46C6E"/>
  </w:style>
  <w:style w:type="character" w:customStyle="1" w:styleId="Heading5Char">
    <w:name w:val="Heading 5 Char"/>
    <w:basedOn w:val="DefaultParagraphFont"/>
    <w:link w:val="Heading5"/>
    <w:uiPriority w:val="9"/>
    <w:semiHidden/>
    <w:rsid w:val="000F1764"/>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semiHidden/>
    <w:unhideWhenUsed/>
    <w:rsid w:val="000F1764"/>
    <w:pPr>
      <w:spacing w:after="120" w:line="480" w:lineRule="auto"/>
    </w:pPr>
  </w:style>
  <w:style w:type="character" w:customStyle="1" w:styleId="BodyText2Char">
    <w:name w:val="Body Text 2 Char"/>
    <w:basedOn w:val="DefaultParagraphFont"/>
    <w:link w:val="BodyText2"/>
    <w:uiPriority w:val="99"/>
    <w:semiHidden/>
    <w:rsid w:val="000F1764"/>
  </w:style>
  <w:style w:type="character" w:customStyle="1" w:styleId="Heading6Char">
    <w:name w:val="Heading 6 Char"/>
    <w:basedOn w:val="DefaultParagraphFont"/>
    <w:link w:val="Heading6"/>
    <w:uiPriority w:val="9"/>
    <w:semiHidden/>
    <w:rsid w:val="000F1764"/>
    <w:rPr>
      <w:rFonts w:ascii="Calibri" w:eastAsia="Times New Roman" w:hAnsi="Calibri" w:cs="Times New Roman"/>
      <w:b/>
      <w:bCs/>
      <w:lang w:val="en-US"/>
    </w:rPr>
  </w:style>
  <w:style w:type="paragraph" w:styleId="BodyText3">
    <w:name w:val="Body Text 3"/>
    <w:basedOn w:val="Normal"/>
    <w:link w:val="BodyText3Char"/>
    <w:uiPriority w:val="99"/>
    <w:unhideWhenUsed/>
    <w:rsid w:val="000F1764"/>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0F1764"/>
    <w:rPr>
      <w:rFonts w:ascii="Times New Roman" w:eastAsia="Times New Roman" w:hAnsi="Times New Roman" w:cs="Times New Roman"/>
      <w:sz w:val="16"/>
      <w:szCs w:val="16"/>
      <w:lang w:val="en-US"/>
    </w:rPr>
  </w:style>
  <w:style w:type="character" w:customStyle="1" w:styleId="auth">
    <w:name w:val="auth"/>
    <w:basedOn w:val="DefaultParagraphFont"/>
    <w:rsid w:val="000F1764"/>
  </w:style>
  <w:style w:type="paragraph" w:customStyle="1" w:styleId="lead">
    <w:name w:val="lead"/>
    <w:basedOn w:val="Normal"/>
    <w:rsid w:val="00310F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pub-sectiontitle">
    <w:name w:val="epub-section__title"/>
    <w:basedOn w:val="DefaultParagraphFont"/>
    <w:rsid w:val="007F5708"/>
  </w:style>
  <w:style w:type="character" w:customStyle="1" w:styleId="comma-separator">
    <w:name w:val="comma-separator"/>
    <w:basedOn w:val="DefaultParagraphFont"/>
    <w:rsid w:val="007F5708"/>
  </w:style>
  <w:style w:type="character" w:customStyle="1" w:styleId="dot-separator">
    <w:name w:val="dot-separator"/>
    <w:basedOn w:val="DefaultParagraphFont"/>
    <w:rsid w:val="007F5708"/>
  </w:style>
  <w:style w:type="character" w:customStyle="1" w:styleId="epub-sectiondate">
    <w:name w:val="epub-section__date"/>
    <w:basedOn w:val="DefaultParagraphFont"/>
    <w:rsid w:val="007F5708"/>
  </w:style>
  <w:style w:type="paragraph" w:customStyle="1" w:styleId="pdf">
    <w:name w:val="pdf"/>
    <w:basedOn w:val="Normal"/>
    <w:rsid w:val="00E50E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ageNumber">
    <w:name w:val="page number"/>
    <w:basedOn w:val="DefaultParagraphFont"/>
    <w:rsid w:val="00BF0C9B"/>
  </w:style>
  <w:style w:type="character" w:customStyle="1" w:styleId="mo">
    <w:name w:val="mo"/>
    <w:basedOn w:val="DefaultParagraphFont"/>
    <w:rsid w:val="00BF0C9B"/>
  </w:style>
  <w:style w:type="character" w:customStyle="1" w:styleId="mi">
    <w:name w:val="mi"/>
    <w:basedOn w:val="DefaultParagraphFont"/>
    <w:rsid w:val="00BF0C9B"/>
  </w:style>
  <w:style w:type="character" w:customStyle="1" w:styleId="mn">
    <w:name w:val="mn"/>
    <w:basedOn w:val="DefaultParagraphFont"/>
    <w:rsid w:val="00BF0C9B"/>
  </w:style>
  <w:style w:type="character" w:customStyle="1" w:styleId="cit">
    <w:name w:val="cit"/>
    <w:basedOn w:val="DefaultParagraphFont"/>
    <w:rsid w:val="00BF0C9B"/>
  </w:style>
  <w:style w:type="character" w:customStyle="1" w:styleId="authors-list-item">
    <w:name w:val="authors-list-item"/>
    <w:basedOn w:val="DefaultParagraphFont"/>
    <w:rsid w:val="00BF0C9B"/>
  </w:style>
  <w:style w:type="character" w:customStyle="1" w:styleId="comma">
    <w:name w:val="comma"/>
    <w:basedOn w:val="DefaultParagraphFont"/>
    <w:rsid w:val="00BF0C9B"/>
  </w:style>
  <w:style w:type="character" w:styleId="UnresolvedMention">
    <w:name w:val="Unresolved Mention"/>
    <w:basedOn w:val="DefaultParagraphFont"/>
    <w:uiPriority w:val="99"/>
    <w:semiHidden/>
    <w:unhideWhenUsed/>
    <w:rsid w:val="00B83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767">
      <w:bodyDiv w:val="1"/>
      <w:marLeft w:val="0"/>
      <w:marRight w:val="0"/>
      <w:marTop w:val="0"/>
      <w:marBottom w:val="0"/>
      <w:divBdr>
        <w:top w:val="none" w:sz="0" w:space="0" w:color="auto"/>
        <w:left w:val="none" w:sz="0" w:space="0" w:color="auto"/>
        <w:bottom w:val="none" w:sz="0" w:space="0" w:color="auto"/>
        <w:right w:val="none" w:sz="0" w:space="0" w:color="auto"/>
      </w:divBdr>
    </w:div>
    <w:div w:id="17434802">
      <w:bodyDiv w:val="1"/>
      <w:marLeft w:val="0"/>
      <w:marRight w:val="0"/>
      <w:marTop w:val="0"/>
      <w:marBottom w:val="0"/>
      <w:divBdr>
        <w:top w:val="none" w:sz="0" w:space="0" w:color="auto"/>
        <w:left w:val="none" w:sz="0" w:space="0" w:color="auto"/>
        <w:bottom w:val="none" w:sz="0" w:space="0" w:color="auto"/>
        <w:right w:val="none" w:sz="0" w:space="0" w:color="auto"/>
      </w:divBdr>
      <w:divsChild>
        <w:div w:id="1919707571">
          <w:marLeft w:val="288"/>
          <w:marRight w:val="0"/>
          <w:marTop w:val="180"/>
          <w:marBottom w:val="0"/>
          <w:divBdr>
            <w:top w:val="none" w:sz="0" w:space="0" w:color="auto"/>
            <w:left w:val="none" w:sz="0" w:space="0" w:color="auto"/>
            <w:bottom w:val="none" w:sz="0" w:space="0" w:color="auto"/>
            <w:right w:val="none" w:sz="0" w:space="0" w:color="auto"/>
          </w:divBdr>
        </w:div>
        <w:div w:id="584610274">
          <w:marLeft w:val="288"/>
          <w:marRight w:val="0"/>
          <w:marTop w:val="180"/>
          <w:marBottom w:val="0"/>
          <w:divBdr>
            <w:top w:val="none" w:sz="0" w:space="0" w:color="auto"/>
            <w:left w:val="none" w:sz="0" w:space="0" w:color="auto"/>
            <w:bottom w:val="none" w:sz="0" w:space="0" w:color="auto"/>
            <w:right w:val="none" w:sz="0" w:space="0" w:color="auto"/>
          </w:divBdr>
        </w:div>
        <w:div w:id="2022735023">
          <w:marLeft w:val="288"/>
          <w:marRight w:val="0"/>
          <w:marTop w:val="180"/>
          <w:marBottom w:val="0"/>
          <w:divBdr>
            <w:top w:val="none" w:sz="0" w:space="0" w:color="auto"/>
            <w:left w:val="none" w:sz="0" w:space="0" w:color="auto"/>
            <w:bottom w:val="none" w:sz="0" w:space="0" w:color="auto"/>
            <w:right w:val="none" w:sz="0" w:space="0" w:color="auto"/>
          </w:divBdr>
        </w:div>
      </w:divsChild>
    </w:div>
    <w:div w:id="121580294">
      <w:bodyDiv w:val="1"/>
      <w:marLeft w:val="0"/>
      <w:marRight w:val="0"/>
      <w:marTop w:val="0"/>
      <w:marBottom w:val="0"/>
      <w:divBdr>
        <w:top w:val="none" w:sz="0" w:space="0" w:color="auto"/>
        <w:left w:val="none" w:sz="0" w:space="0" w:color="auto"/>
        <w:bottom w:val="none" w:sz="0" w:space="0" w:color="auto"/>
        <w:right w:val="none" w:sz="0" w:space="0" w:color="auto"/>
      </w:divBdr>
      <w:divsChild>
        <w:div w:id="1737125461">
          <w:marLeft w:val="-108"/>
          <w:marRight w:val="0"/>
          <w:marTop w:val="0"/>
          <w:marBottom w:val="0"/>
          <w:divBdr>
            <w:top w:val="none" w:sz="0" w:space="0" w:color="auto"/>
            <w:left w:val="none" w:sz="0" w:space="0" w:color="auto"/>
            <w:bottom w:val="none" w:sz="0" w:space="0" w:color="auto"/>
            <w:right w:val="none" w:sz="0" w:space="0" w:color="auto"/>
          </w:divBdr>
        </w:div>
        <w:div w:id="1727609405">
          <w:marLeft w:val="-964"/>
          <w:marRight w:val="0"/>
          <w:marTop w:val="0"/>
          <w:marBottom w:val="0"/>
          <w:divBdr>
            <w:top w:val="none" w:sz="0" w:space="0" w:color="auto"/>
            <w:left w:val="none" w:sz="0" w:space="0" w:color="auto"/>
            <w:bottom w:val="none" w:sz="0" w:space="0" w:color="auto"/>
            <w:right w:val="none" w:sz="0" w:space="0" w:color="auto"/>
          </w:divBdr>
          <w:divsChild>
            <w:div w:id="285742507">
              <w:marLeft w:val="18"/>
              <w:marRight w:val="0"/>
              <w:marTop w:val="0"/>
              <w:marBottom w:val="0"/>
              <w:divBdr>
                <w:top w:val="none" w:sz="0" w:space="0" w:color="auto"/>
                <w:left w:val="none" w:sz="0" w:space="0" w:color="auto"/>
                <w:bottom w:val="none" w:sz="0" w:space="0" w:color="auto"/>
                <w:right w:val="none" w:sz="0" w:space="0" w:color="auto"/>
              </w:divBdr>
            </w:div>
          </w:divsChild>
        </w:div>
        <w:div w:id="1321079854">
          <w:marLeft w:val="-108"/>
          <w:marRight w:val="0"/>
          <w:marTop w:val="0"/>
          <w:marBottom w:val="0"/>
          <w:divBdr>
            <w:top w:val="none" w:sz="0" w:space="0" w:color="auto"/>
            <w:left w:val="none" w:sz="0" w:space="0" w:color="auto"/>
            <w:bottom w:val="none" w:sz="0" w:space="0" w:color="auto"/>
            <w:right w:val="none" w:sz="0" w:space="0" w:color="auto"/>
          </w:divBdr>
        </w:div>
        <w:div w:id="1844858600">
          <w:marLeft w:val="-108"/>
          <w:marRight w:val="0"/>
          <w:marTop w:val="0"/>
          <w:marBottom w:val="0"/>
          <w:divBdr>
            <w:top w:val="none" w:sz="0" w:space="0" w:color="auto"/>
            <w:left w:val="none" w:sz="0" w:space="0" w:color="auto"/>
            <w:bottom w:val="none" w:sz="0" w:space="0" w:color="auto"/>
            <w:right w:val="none" w:sz="0" w:space="0" w:color="auto"/>
          </w:divBdr>
        </w:div>
        <w:div w:id="344749964">
          <w:marLeft w:val="-964"/>
          <w:marRight w:val="0"/>
          <w:marTop w:val="0"/>
          <w:marBottom w:val="0"/>
          <w:divBdr>
            <w:top w:val="none" w:sz="0" w:space="0" w:color="auto"/>
            <w:left w:val="none" w:sz="0" w:space="0" w:color="auto"/>
            <w:bottom w:val="none" w:sz="0" w:space="0" w:color="auto"/>
            <w:right w:val="none" w:sz="0" w:space="0" w:color="auto"/>
          </w:divBdr>
        </w:div>
        <w:div w:id="1919366407">
          <w:marLeft w:val="-964"/>
          <w:marRight w:val="0"/>
          <w:marTop w:val="0"/>
          <w:marBottom w:val="0"/>
          <w:divBdr>
            <w:top w:val="none" w:sz="0" w:space="0" w:color="auto"/>
            <w:left w:val="none" w:sz="0" w:space="0" w:color="auto"/>
            <w:bottom w:val="none" w:sz="0" w:space="0" w:color="auto"/>
            <w:right w:val="none" w:sz="0" w:space="0" w:color="auto"/>
          </w:divBdr>
          <w:divsChild>
            <w:div w:id="871498928">
              <w:marLeft w:val="18"/>
              <w:marRight w:val="0"/>
              <w:marTop w:val="0"/>
              <w:marBottom w:val="0"/>
              <w:divBdr>
                <w:top w:val="none" w:sz="0" w:space="0" w:color="auto"/>
                <w:left w:val="none" w:sz="0" w:space="0" w:color="auto"/>
                <w:bottom w:val="none" w:sz="0" w:space="0" w:color="auto"/>
                <w:right w:val="none" w:sz="0" w:space="0" w:color="auto"/>
              </w:divBdr>
            </w:div>
          </w:divsChild>
        </w:div>
        <w:div w:id="631442978">
          <w:marLeft w:val="-108"/>
          <w:marRight w:val="0"/>
          <w:marTop w:val="0"/>
          <w:marBottom w:val="0"/>
          <w:divBdr>
            <w:top w:val="none" w:sz="0" w:space="0" w:color="auto"/>
            <w:left w:val="none" w:sz="0" w:space="0" w:color="auto"/>
            <w:bottom w:val="none" w:sz="0" w:space="0" w:color="auto"/>
            <w:right w:val="none" w:sz="0" w:space="0" w:color="auto"/>
          </w:divBdr>
        </w:div>
        <w:div w:id="2030719168">
          <w:marLeft w:val="-964"/>
          <w:marRight w:val="0"/>
          <w:marTop w:val="0"/>
          <w:marBottom w:val="0"/>
          <w:divBdr>
            <w:top w:val="none" w:sz="0" w:space="0" w:color="auto"/>
            <w:left w:val="none" w:sz="0" w:space="0" w:color="auto"/>
            <w:bottom w:val="none" w:sz="0" w:space="0" w:color="auto"/>
            <w:right w:val="none" w:sz="0" w:space="0" w:color="auto"/>
          </w:divBdr>
          <w:divsChild>
            <w:div w:id="305667998">
              <w:marLeft w:val="18"/>
              <w:marRight w:val="0"/>
              <w:marTop w:val="0"/>
              <w:marBottom w:val="0"/>
              <w:divBdr>
                <w:top w:val="none" w:sz="0" w:space="0" w:color="auto"/>
                <w:left w:val="none" w:sz="0" w:space="0" w:color="auto"/>
                <w:bottom w:val="none" w:sz="0" w:space="0" w:color="auto"/>
                <w:right w:val="none" w:sz="0" w:space="0" w:color="auto"/>
              </w:divBdr>
            </w:div>
          </w:divsChild>
        </w:div>
        <w:div w:id="1685283463">
          <w:marLeft w:val="-108"/>
          <w:marRight w:val="0"/>
          <w:marTop w:val="0"/>
          <w:marBottom w:val="0"/>
          <w:divBdr>
            <w:top w:val="none" w:sz="0" w:space="0" w:color="auto"/>
            <w:left w:val="none" w:sz="0" w:space="0" w:color="auto"/>
            <w:bottom w:val="none" w:sz="0" w:space="0" w:color="auto"/>
            <w:right w:val="none" w:sz="0" w:space="0" w:color="auto"/>
          </w:divBdr>
        </w:div>
        <w:div w:id="1353727300">
          <w:marLeft w:val="-108"/>
          <w:marRight w:val="0"/>
          <w:marTop w:val="0"/>
          <w:marBottom w:val="0"/>
          <w:divBdr>
            <w:top w:val="none" w:sz="0" w:space="0" w:color="auto"/>
            <w:left w:val="none" w:sz="0" w:space="0" w:color="auto"/>
            <w:bottom w:val="none" w:sz="0" w:space="0" w:color="auto"/>
            <w:right w:val="none" w:sz="0" w:space="0" w:color="auto"/>
          </w:divBdr>
        </w:div>
        <w:div w:id="835725549">
          <w:marLeft w:val="-108"/>
          <w:marRight w:val="0"/>
          <w:marTop w:val="0"/>
          <w:marBottom w:val="0"/>
          <w:divBdr>
            <w:top w:val="none" w:sz="0" w:space="0" w:color="auto"/>
            <w:left w:val="none" w:sz="0" w:space="0" w:color="auto"/>
            <w:bottom w:val="none" w:sz="0" w:space="0" w:color="auto"/>
            <w:right w:val="none" w:sz="0" w:space="0" w:color="auto"/>
          </w:divBdr>
        </w:div>
        <w:div w:id="850218987">
          <w:marLeft w:val="-108"/>
          <w:marRight w:val="0"/>
          <w:marTop w:val="0"/>
          <w:marBottom w:val="0"/>
          <w:divBdr>
            <w:top w:val="none" w:sz="0" w:space="0" w:color="auto"/>
            <w:left w:val="none" w:sz="0" w:space="0" w:color="auto"/>
            <w:bottom w:val="none" w:sz="0" w:space="0" w:color="auto"/>
            <w:right w:val="none" w:sz="0" w:space="0" w:color="auto"/>
          </w:divBdr>
        </w:div>
        <w:div w:id="996541296">
          <w:marLeft w:val="-964"/>
          <w:marRight w:val="0"/>
          <w:marTop w:val="0"/>
          <w:marBottom w:val="0"/>
          <w:divBdr>
            <w:top w:val="none" w:sz="0" w:space="0" w:color="auto"/>
            <w:left w:val="none" w:sz="0" w:space="0" w:color="auto"/>
            <w:bottom w:val="none" w:sz="0" w:space="0" w:color="auto"/>
            <w:right w:val="none" w:sz="0" w:space="0" w:color="auto"/>
          </w:divBdr>
          <w:divsChild>
            <w:div w:id="1757090466">
              <w:marLeft w:val="18"/>
              <w:marRight w:val="0"/>
              <w:marTop w:val="0"/>
              <w:marBottom w:val="0"/>
              <w:divBdr>
                <w:top w:val="none" w:sz="0" w:space="0" w:color="auto"/>
                <w:left w:val="none" w:sz="0" w:space="0" w:color="auto"/>
                <w:bottom w:val="none" w:sz="0" w:space="0" w:color="auto"/>
                <w:right w:val="none" w:sz="0" w:space="0" w:color="auto"/>
              </w:divBdr>
            </w:div>
          </w:divsChild>
        </w:div>
        <w:div w:id="1117913819">
          <w:marLeft w:val="-108"/>
          <w:marRight w:val="0"/>
          <w:marTop w:val="0"/>
          <w:marBottom w:val="0"/>
          <w:divBdr>
            <w:top w:val="none" w:sz="0" w:space="0" w:color="auto"/>
            <w:left w:val="none" w:sz="0" w:space="0" w:color="auto"/>
            <w:bottom w:val="none" w:sz="0" w:space="0" w:color="auto"/>
            <w:right w:val="none" w:sz="0" w:space="0" w:color="auto"/>
          </w:divBdr>
        </w:div>
      </w:divsChild>
    </w:div>
    <w:div w:id="153420104">
      <w:bodyDiv w:val="1"/>
      <w:marLeft w:val="0"/>
      <w:marRight w:val="0"/>
      <w:marTop w:val="0"/>
      <w:marBottom w:val="0"/>
      <w:divBdr>
        <w:top w:val="none" w:sz="0" w:space="0" w:color="auto"/>
        <w:left w:val="none" w:sz="0" w:space="0" w:color="auto"/>
        <w:bottom w:val="none" w:sz="0" w:space="0" w:color="auto"/>
        <w:right w:val="none" w:sz="0" w:space="0" w:color="auto"/>
      </w:divBdr>
    </w:div>
    <w:div w:id="243611529">
      <w:bodyDiv w:val="1"/>
      <w:marLeft w:val="0"/>
      <w:marRight w:val="0"/>
      <w:marTop w:val="0"/>
      <w:marBottom w:val="0"/>
      <w:divBdr>
        <w:top w:val="none" w:sz="0" w:space="0" w:color="auto"/>
        <w:left w:val="none" w:sz="0" w:space="0" w:color="auto"/>
        <w:bottom w:val="none" w:sz="0" w:space="0" w:color="auto"/>
        <w:right w:val="none" w:sz="0" w:space="0" w:color="auto"/>
      </w:divBdr>
    </w:div>
    <w:div w:id="248974176">
      <w:bodyDiv w:val="1"/>
      <w:marLeft w:val="0"/>
      <w:marRight w:val="0"/>
      <w:marTop w:val="0"/>
      <w:marBottom w:val="0"/>
      <w:divBdr>
        <w:top w:val="none" w:sz="0" w:space="0" w:color="auto"/>
        <w:left w:val="none" w:sz="0" w:space="0" w:color="auto"/>
        <w:bottom w:val="none" w:sz="0" w:space="0" w:color="auto"/>
        <w:right w:val="none" w:sz="0" w:space="0" w:color="auto"/>
      </w:divBdr>
      <w:divsChild>
        <w:div w:id="1618953652">
          <w:marLeft w:val="0"/>
          <w:marRight w:val="0"/>
          <w:marTop w:val="0"/>
          <w:marBottom w:val="0"/>
          <w:divBdr>
            <w:top w:val="none" w:sz="0" w:space="0" w:color="auto"/>
            <w:left w:val="none" w:sz="0" w:space="0" w:color="auto"/>
            <w:bottom w:val="none" w:sz="0" w:space="0" w:color="auto"/>
            <w:right w:val="none" w:sz="0" w:space="0" w:color="auto"/>
          </w:divBdr>
        </w:div>
        <w:div w:id="950435462">
          <w:marLeft w:val="0"/>
          <w:marRight w:val="0"/>
          <w:marTop w:val="0"/>
          <w:marBottom w:val="0"/>
          <w:divBdr>
            <w:top w:val="none" w:sz="0" w:space="0" w:color="auto"/>
            <w:left w:val="none" w:sz="0" w:space="0" w:color="auto"/>
            <w:bottom w:val="none" w:sz="0" w:space="0" w:color="auto"/>
            <w:right w:val="none" w:sz="0" w:space="0" w:color="auto"/>
          </w:divBdr>
        </w:div>
        <w:div w:id="279266249">
          <w:marLeft w:val="0"/>
          <w:marRight w:val="0"/>
          <w:marTop w:val="0"/>
          <w:marBottom w:val="0"/>
          <w:divBdr>
            <w:top w:val="none" w:sz="0" w:space="0" w:color="auto"/>
            <w:left w:val="none" w:sz="0" w:space="0" w:color="auto"/>
            <w:bottom w:val="none" w:sz="0" w:space="0" w:color="auto"/>
            <w:right w:val="none" w:sz="0" w:space="0" w:color="auto"/>
          </w:divBdr>
        </w:div>
        <w:div w:id="41903790">
          <w:marLeft w:val="0"/>
          <w:marRight w:val="0"/>
          <w:marTop w:val="0"/>
          <w:marBottom w:val="0"/>
          <w:divBdr>
            <w:top w:val="none" w:sz="0" w:space="0" w:color="auto"/>
            <w:left w:val="none" w:sz="0" w:space="0" w:color="auto"/>
            <w:bottom w:val="none" w:sz="0" w:space="0" w:color="auto"/>
            <w:right w:val="none" w:sz="0" w:space="0" w:color="auto"/>
          </w:divBdr>
        </w:div>
        <w:div w:id="1332297041">
          <w:marLeft w:val="0"/>
          <w:marRight w:val="0"/>
          <w:marTop w:val="0"/>
          <w:marBottom w:val="0"/>
          <w:divBdr>
            <w:top w:val="none" w:sz="0" w:space="0" w:color="auto"/>
            <w:left w:val="none" w:sz="0" w:space="0" w:color="auto"/>
            <w:bottom w:val="none" w:sz="0" w:space="0" w:color="auto"/>
            <w:right w:val="none" w:sz="0" w:space="0" w:color="auto"/>
          </w:divBdr>
        </w:div>
        <w:div w:id="1702978333">
          <w:marLeft w:val="0"/>
          <w:marRight w:val="0"/>
          <w:marTop w:val="0"/>
          <w:marBottom w:val="0"/>
          <w:divBdr>
            <w:top w:val="none" w:sz="0" w:space="0" w:color="auto"/>
            <w:left w:val="none" w:sz="0" w:space="0" w:color="auto"/>
            <w:bottom w:val="none" w:sz="0" w:space="0" w:color="auto"/>
            <w:right w:val="none" w:sz="0" w:space="0" w:color="auto"/>
          </w:divBdr>
        </w:div>
        <w:div w:id="2117746349">
          <w:marLeft w:val="0"/>
          <w:marRight w:val="0"/>
          <w:marTop w:val="0"/>
          <w:marBottom w:val="0"/>
          <w:divBdr>
            <w:top w:val="none" w:sz="0" w:space="0" w:color="auto"/>
            <w:left w:val="none" w:sz="0" w:space="0" w:color="auto"/>
            <w:bottom w:val="none" w:sz="0" w:space="0" w:color="auto"/>
            <w:right w:val="none" w:sz="0" w:space="0" w:color="auto"/>
          </w:divBdr>
        </w:div>
        <w:div w:id="428701715">
          <w:marLeft w:val="0"/>
          <w:marRight w:val="0"/>
          <w:marTop w:val="0"/>
          <w:marBottom w:val="0"/>
          <w:divBdr>
            <w:top w:val="none" w:sz="0" w:space="0" w:color="auto"/>
            <w:left w:val="none" w:sz="0" w:space="0" w:color="auto"/>
            <w:bottom w:val="none" w:sz="0" w:space="0" w:color="auto"/>
            <w:right w:val="none" w:sz="0" w:space="0" w:color="auto"/>
          </w:divBdr>
        </w:div>
        <w:div w:id="665867058">
          <w:marLeft w:val="0"/>
          <w:marRight w:val="0"/>
          <w:marTop w:val="0"/>
          <w:marBottom w:val="0"/>
          <w:divBdr>
            <w:top w:val="none" w:sz="0" w:space="0" w:color="auto"/>
            <w:left w:val="none" w:sz="0" w:space="0" w:color="auto"/>
            <w:bottom w:val="none" w:sz="0" w:space="0" w:color="auto"/>
            <w:right w:val="none" w:sz="0" w:space="0" w:color="auto"/>
          </w:divBdr>
        </w:div>
        <w:div w:id="1246260292">
          <w:marLeft w:val="0"/>
          <w:marRight w:val="0"/>
          <w:marTop w:val="0"/>
          <w:marBottom w:val="0"/>
          <w:divBdr>
            <w:top w:val="none" w:sz="0" w:space="0" w:color="auto"/>
            <w:left w:val="none" w:sz="0" w:space="0" w:color="auto"/>
            <w:bottom w:val="none" w:sz="0" w:space="0" w:color="auto"/>
            <w:right w:val="none" w:sz="0" w:space="0" w:color="auto"/>
          </w:divBdr>
        </w:div>
        <w:div w:id="407194319">
          <w:marLeft w:val="0"/>
          <w:marRight w:val="0"/>
          <w:marTop w:val="0"/>
          <w:marBottom w:val="0"/>
          <w:divBdr>
            <w:top w:val="none" w:sz="0" w:space="0" w:color="auto"/>
            <w:left w:val="none" w:sz="0" w:space="0" w:color="auto"/>
            <w:bottom w:val="none" w:sz="0" w:space="0" w:color="auto"/>
            <w:right w:val="none" w:sz="0" w:space="0" w:color="auto"/>
          </w:divBdr>
        </w:div>
        <w:div w:id="2030402783">
          <w:marLeft w:val="0"/>
          <w:marRight w:val="0"/>
          <w:marTop w:val="0"/>
          <w:marBottom w:val="0"/>
          <w:divBdr>
            <w:top w:val="none" w:sz="0" w:space="0" w:color="auto"/>
            <w:left w:val="none" w:sz="0" w:space="0" w:color="auto"/>
            <w:bottom w:val="none" w:sz="0" w:space="0" w:color="auto"/>
            <w:right w:val="none" w:sz="0" w:space="0" w:color="auto"/>
          </w:divBdr>
        </w:div>
        <w:div w:id="779225284">
          <w:marLeft w:val="0"/>
          <w:marRight w:val="0"/>
          <w:marTop w:val="0"/>
          <w:marBottom w:val="0"/>
          <w:divBdr>
            <w:top w:val="none" w:sz="0" w:space="0" w:color="auto"/>
            <w:left w:val="none" w:sz="0" w:space="0" w:color="auto"/>
            <w:bottom w:val="none" w:sz="0" w:space="0" w:color="auto"/>
            <w:right w:val="none" w:sz="0" w:space="0" w:color="auto"/>
          </w:divBdr>
        </w:div>
        <w:div w:id="1158032790">
          <w:marLeft w:val="0"/>
          <w:marRight w:val="0"/>
          <w:marTop w:val="0"/>
          <w:marBottom w:val="0"/>
          <w:divBdr>
            <w:top w:val="none" w:sz="0" w:space="0" w:color="auto"/>
            <w:left w:val="none" w:sz="0" w:space="0" w:color="auto"/>
            <w:bottom w:val="none" w:sz="0" w:space="0" w:color="auto"/>
            <w:right w:val="none" w:sz="0" w:space="0" w:color="auto"/>
          </w:divBdr>
        </w:div>
        <w:div w:id="1455634865">
          <w:marLeft w:val="0"/>
          <w:marRight w:val="0"/>
          <w:marTop w:val="0"/>
          <w:marBottom w:val="0"/>
          <w:divBdr>
            <w:top w:val="none" w:sz="0" w:space="0" w:color="auto"/>
            <w:left w:val="none" w:sz="0" w:space="0" w:color="auto"/>
            <w:bottom w:val="none" w:sz="0" w:space="0" w:color="auto"/>
            <w:right w:val="none" w:sz="0" w:space="0" w:color="auto"/>
          </w:divBdr>
        </w:div>
        <w:div w:id="1324312933">
          <w:marLeft w:val="0"/>
          <w:marRight w:val="0"/>
          <w:marTop w:val="0"/>
          <w:marBottom w:val="0"/>
          <w:divBdr>
            <w:top w:val="none" w:sz="0" w:space="0" w:color="auto"/>
            <w:left w:val="none" w:sz="0" w:space="0" w:color="auto"/>
            <w:bottom w:val="none" w:sz="0" w:space="0" w:color="auto"/>
            <w:right w:val="none" w:sz="0" w:space="0" w:color="auto"/>
          </w:divBdr>
        </w:div>
        <w:div w:id="1897887336">
          <w:marLeft w:val="0"/>
          <w:marRight w:val="0"/>
          <w:marTop w:val="0"/>
          <w:marBottom w:val="0"/>
          <w:divBdr>
            <w:top w:val="none" w:sz="0" w:space="0" w:color="auto"/>
            <w:left w:val="none" w:sz="0" w:space="0" w:color="auto"/>
            <w:bottom w:val="none" w:sz="0" w:space="0" w:color="auto"/>
            <w:right w:val="none" w:sz="0" w:space="0" w:color="auto"/>
          </w:divBdr>
        </w:div>
      </w:divsChild>
    </w:div>
    <w:div w:id="423646020">
      <w:bodyDiv w:val="1"/>
      <w:marLeft w:val="0"/>
      <w:marRight w:val="0"/>
      <w:marTop w:val="0"/>
      <w:marBottom w:val="0"/>
      <w:divBdr>
        <w:top w:val="none" w:sz="0" w:space="0" w:color="auto"/>
        <w:left w:val="none" w:sz="0" w:space="0" w:color="auto"/>
        <w:bottom w:val="none" w:sz="0" w:space="0" w:color="auto"/>
        <w:right w:val="none" w:sz="0" w:space="0" w:color="auto"/>
      </w:divBdr>
    </w:div>
    <w:div w:id="593242766">
      <w:bodyDiv w:val="1"/>
      <w:marLeft w:val="0"/>
      <w:marRight w:val="0"/>
      <w:marTop w:val="0"/>
      <w:marBottom w:val="0"/>
      <w:divBdr>
        <w:top w:val="none" w:sz="0" w:space="0" w:color="auto"/>
        <w:left w:val="none" w:sz="0" w:space="0" w:color="auto"/>
        <w:bottom w:val="none" w:sz="0" w:space="0" w:color="auto"/>
        <w:right w:val="none" w:sz="0" w:space="0" w:color="auto"/>
      </w:divBdr>
    </w:div>
    <w:div w:id="696807572">
      <w:bodyDiv w:val="1"/>
      <w:marLeft w:val="0"/>
      <w:marRight w:val="0"/>
      <w:marTop w:val="0"/>
      <w:marBottom w:val="0"/>
      <w:divBdr>
        <w:top w:val="none" w:sz="0" w:space="0" w:color="auto"/>
        <w:left w:val="none" w:sz="0" w:space="0" w:color="auto"/>
        <w:bottom w:val="none" w:sz="0" w:space="0" w:color="auto"/>
        <w:right w:val="none" w:sz="0" w:space="0" w:color="auto"/>
      </w:divBdr>
      <w:divsChild>
        <w:div w:id="2009941772">
          <w:marLeft w:val="288"/>
          <w:marRight w:val="0"/>
          <w:marTop w:val="180"/>
          <w:marBottom w:val="0"/>
          <w:divBdr>
            <w:top w:val="none" w:sz="0" w:space="0" w:color="auto"/>
            <w:left w:val="none" w:sz="0" w:space="0" w:color="auto"/>
            <w:bottom w:val="none" w:sz="0" w:space="0" w:color="auto"/>
            <w:right w:val="none" w:sz="0" w:space="0" w:color="auto"/>
          </w:divBdr>
        </w:div>
        <w:div w:id="711154590">
          <w:marLeft w:val="288"/>
          <w:marRight w:val="0"/>
          <w:marTop w:val="180"/>
          <w:marBottom w:val="0"/>
          <w:divBdr>
            <w:top w:val="none" w:sz="0" w:space="0" w:color="auto"/>
            <w:left w:val="none" w:sz="0" w:space="0" w:color="auto"/>
            <w:bottom w:val="none" w:sz="0" w:space="0" w:color="auto"/>
            <w:right w:val="none" w:sz="0" w:space="0" w:color="auto"/>
          </w:divBdr>
        </w:div>
        <w:div w:id="1872104901">
          <w:marLeft w:val="288"/>
          <w:marRight w:val="0"/>
          <w:marTop w:val="180"/>
          <w:marBottom w:val="0"/>
          <w:divBdr>
            <w:top w:val="none" w:sz="0" w:space="0" w:color="auto"/>
            <w:left w:val="none" w:sz="0" w:space="0" w:color="auto"/>
            <w:bottom w:val="none" w:sz="0" w:space="0" w:color="auto"/>
            <w:right w:val="none" w:sz="0" w:space="0" w:color="auto"/>
          </w:divBdr>
        </w:div>
        <w:div w:id="55399182">
          <w:marLeft w:val="288"/>
          <w:marRight w:val="0"/>
          <w:marTop w:val="180"/>
          <w:marBottom w:val="0"/>
          <w:divBdr>
            <w:top w:val="none" w:sz="0" w:space="0" w:color="auto"/>
            <w:left w:val="none" w:sz="0" w:space="0" w:color="auto"/>
            <w:bottom w:val="none" w:sz="0" w:space="0" w:color="auto"/>
            <w:right w:val="none" w:sz="0" w:space="0" w:color="auto"/>
          </w:divBdr>
        </w:div>
        <w:div w:id="1930655574">
          <w:marLeft w:val="288"/>
          <w:marRight w:val="0"/>
          <w:marTop w:val="180"/>
          <w:marBottom w:val="0"/>
          <w:divBdr>
            <w:top w:val="none" w:sz="0" w:space="0" w:color="auto"/>
            <w:left w:val="none" w:sz="0" w:space="0" w:color="auto"/>
            <w:bottom w:val="none" w:sz="0" w:space="0" w:color="auto"/>
            <w:right w:val="none" w:sz="0" w:space="0" w:color="auto"/>
          </w:divBdr>
        </w:div>
        <w:div w:id="1770272967">
          <w:marLeft w:val="288"/>
          <w:marRight w:val="0"/>
          <w:marTop w:val="180"/>
          <w:marBottom w:val="0"/>
          <w:divBdr>
            <w:top w:val="none" w:sz="0" w:space="0" w:color="auto"/>
            <w:left w:val="none" w:sz="0" w:space="0" w:color="auto"/>
            <w:bottom w:val="none" w:sz="0" w:space="0" w:color="auto"/>
            <w:right w:val="none" w:sz="0" w:space="0" w:color="auto"/>
          </w:divBdr>
        </w:div>
        <w:div w:id="754588983">
          <w:marLeft w:val="288"/>
          <w:marRight w:val="0"/>
          <w:marTop w:val="180"/>
          <w:marBottom w:val="0"/>
          <w:divBdr>
            <w:top w:val="none" w:sz="0" w:space="0" w:color="auto"/>
            <w:left w:val="none" w:sz="0" w:space="0" w:color="auto"/>
            <w:bottom w:val="none" w:sz="0" w:space="0" w:color="auto"/>
            <w:right w:val="none" w:sz="0" w:space="0" w:color="auto"/>
          </w:divBdr>
        </w:div>
        <w:div w:id="1898735150">
          <w:marLeft w:val="288"/>
          <w:marRight w:val="0"/>
          <w:marTop w:val="180"/>
          <w:marBottom w:val="0"/>
          <w:divBdr>
            <w:top w:val="none" w:sz="0" w:space="0" w:color="auto"/>
            <w:left w:val="none" w:sz="0" w:space="0" w:color="auto"/>
            <w:bottom w:val="none" w:sz="0" w:space="0" w:color="auto"/>
            <w:right w:val="none" w:sz="0" w:space="0" w:color="auto"/>
          </w:divBdr>
        </w:div>
      </w:divsChild>
    </w:div>
    <w:div w:id="734165185">
      <w:bodyDiv w:val="1"/>
      <w:marLeft w:val="0"/>
      <w:marRight w:val="0"/>
      <w:marTop w:val="0"/>
      <w:marBottom w:val="0"/>
      <w:divBdr>
        <w:top w:val="none" w:sz="0" w:space="0" w:color="auto"/>
        <w:left w:val="none" w:sz="0" w:space="0" w:color="auto"/>
        <w:bottom w:val="none" w:sz="0" w:space="0" w:color="auto"/>
        <w:right w:val="none" w:sz="0" w:space="0" w:color="auto"/>
      </w:divBdr>
      <w:divsChild>
        <w:div w:id="277492281">
          <w:marLeft w:val="274"/>
          <w:marRight w:val="0"/>
          <w:marTop w:val="0"/>
          <w:marBottom w:val="0"/>
          <w:divBdr>
            <w:top w:val="none" w:sz="0" w:space="0" w:color="auto"/>
            <w:left w:val="none" w:sz="0" w:space="0" w:color="auto"/>
            <w:bottom w:val="none" w:sz="0" w:space="0" w:color="auto"/>
            <w:right w:val="none" w:sz="0" w:space="0" w:color="auto"/>
          </w:divBdr>
        </w:div>
        <w:div w:id="1399087444">
          <w:marLeft w:val="274"/>
          <w:marRight w:val="0"/>
          <w:marTop w:val="0"/>
          <w:marBottom w:val="0"/>
          <w:divBdr>
            <w:top w:val="none" w:sz="0" w:space="0" w:color="auto"/>
            <w:left w:val="none" w:sz="0" w:space="0" w:color="auto"/>
            <w:bottom w:val="none" w:sz="0" w:space="0" w:color="auto"/>
            <w:right w:val="none" w:sz="0" w:space="0" w:color="auto"/>
          </w:divBdr>
        </w:div>
        <w:div w:id="924610722">
          <w:marLeft w:val="274"/>
          <w:marRight w:val="0"/>
          <w:marTop w:val="0"/>
          <w:marBottom w:val="0"/>
          <w:divBdr>
            <w:top w:val="none" w:sz="0" w:space="0" w:color="auto"/>
            <w:left w:val="none" w:sz="0" w:space="0" w:color="auto"/>
            <w:bottom w:val="none" w:sz="0" w:space="0" w:color="auto"/>
            <w:right w:val="none" w:sz="0" w:space="0" w:color="auto"/>
          </w:divBdr>
        </w:div>
      </w:divsChild>
    </w:div>
    <w:div w:id="776025451">
      <w:bodyDiv w:val="1"/>
      <w:marLeft w:val="0"/>
      <w:marRight w:val="0"/>
      <w:marTop w:val="0"/>
      <w:marBottom w:val="0"/>
      <w:divBdr>
        <w:top w:val="none" w:sz="0" w:space="0" w:color="auto"/>
        <w:left w:val="none" w:sz="0" w:space="0" w:color="auto"/>
        <w:bottom w:val="none" w:sz="0" w:space="0" w:color="auto"/>
        <w:right w:val="none" w:sz="0" w:space="0" w:color="auto"/>
      </w:divBdr>
      <w:divsChild>
        <w:div w:id="84767650">
          <w:marLeft w:val="274"/>
          <w:marRight w:val="0"/>
          <w:marTop w:val="0"/>
          <w:marBottom w:val="0"/>
          <w:divBdr>
            <w:top w:val="none" w:sz="0" w:space="0" w:color="auto"/>
            <w:left w:val="none" w:sz="0" w:space="0" w:color="auto"/>
            <w:bottom w:val="none" w:sz="0" w:space="0" w:color="auto"/>
            <w:right w:val="none" w:sz="0" w:space="0" w:color="auto"/>
          </w:divBdr>
        </w:div>
        <w:div w:id="992223692">
          <w:marLeft w:val="274"/>
          <w:marRight w:val="0"/>
          <w:marTop w:val="0"/>
          <w:marBottom w:val="0"/>
          <w:divBdr>
            <w:top w:val="none" w:sz="0" w:space="0" w:color="auto"/>
            <w:left w:val="none" w:sz="0" w:space="0" w:color="auto"/>
            <w:bottom w:val="none" w:sz="0" w:space="0" w:color="auto"/>
            <w:right w:val="none" w:sz="0" w:space="0" w:color="auto"/>
          </w:divBdr>
        </w:div>
        <w:div w:id="1501002735">
          <w:marLeft w:val="274"/>
          <w:marRight w:val="0"/>
          <w:marTop w:val="0"/>
          <w:marBottom w:val="0"/>
          <w:divBdr>
            <w:top w:val="none" w:sz="0" w:space="0" w:color="auto"/>
            <w:left w:val="none" w:sz="0" w:space="0" w:color="auto"/>
            <w:bottom w:val="none" w:sz="0" w:space="0" w:color="auto"/>
            <w:right w:val="none" w:sz="0" w:space="0" w:color="auto"/>
          </w:divBdr>
        </w:div>
      </w:divsChild>
    </w:div>
    <w:div w:id="803816619">
      <w:bodyDiv w:val="1"/>
      <w:marLeft w:val="0"/>
      <w:marRight w:val="0"/>
      <w:marTop w:val="0"/>
      <w:marBottom w:val="0"/>
      <w:divBdr>
        <w:top w:val="none" w:sz="0" w:space="0" w:color="auto"/>
        <w:left w:val="none" w:sz="0" w:space="0" w:color="auto"/>
        <w:bottom w:val="none" w:sz="0" w:space="0" w:color="auto"/>
        <w:right w:val="none" w:sz="0" w:space="0" w:color="auto"/>
      </w:divBdr>
    </w:div>
    <w:div w:id="804353067">
      <w:bodyDiv w:val="1"/>
      <w:marLeft w:val="0"/>
      <w:marRight w:val="0"/>
      <w:marTop w:val="0"/>
      <w:marBottom w:val="0"/>
      <w:divBdr>
        <w:top w:val="none" w:sz="0" w:space="0" w:color="auto"/>
        <w:left w:val="none" w:sz="0" w:space="0" w:color="auto"/>
        <w:bottom w:val="none" w:sz="0" w:space="0" w:color="auto"/>
        <w:right w:val="none" w:sz="0" w:space="0" w:color="auto"/>
      </w:divBdr>
      <w:divsChild>
        <w:div w:id="12616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53324">
              <w:marLeft w:val="0"/>
              <w:marRight w:val="0"/>
              <w:marTop w:val="0"/>
              <w:marBottom w:val="0"/>
              <w:divBdr>
                <w:top w:val="none" w:sz="0" w:space="0" w:color="auto"/>
                <w:left w:val="none" w:sz="0" w:space="0" w:color="auto"/>
                <w:bottom w:val="none" w:sz="0" w:space="0" w:color="auto"/>
                <w:right w:val="none" w:sz="0" w:space="0" w:color="auto"/>
              </w:divBdr>
              <w:divsChild>
                <w:div w:id="96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61741">
      <w:bodyDiv w:val="1"/>
      <w:marLeft w:val="0"/>
      <w:marRight w:val="0"/>
      <w:marTop w:val="0"/>
      <w:marBottom w:val="0"/>
      <w:divBdr>
        <w:top w:val="none" w:sz="0" w:space="0" w:color="auto"/>
        <w:left w:val="none" w:sz="0" w:space="0" w:color="auto"/>
        <w:bottom w:val="none" w:sz="0" w:space="0" w:color="auto"/>
        <w:right w:val="none" w:sz="0" w:space="0" w:color="auto"/>
      </w:divBdr>
      <w:divsChild>
        <w:div w:id="1427312070">
          <w:marLeft w:val="274"/>
          <w:marRight w:val="0"/>
          <w:marTop w:val="0"/>
          <w:marBottom w:val="0"/>
          <w:divBdr>
            <w:top w:val="none" w:sz="0" w:space="0" w:color="auto"/>
            <w:left w:val="none" w:sz="0" w:space="0" w:color="auto"/>
            <w:bottom w:val="none" w:sz="0" w:space="0" w:color="auto"/>
            <w:right w:val="none" w:sz="0" w:space="0" w:color="auto"/>
          </w:divBdr>
        </w:div>
        <w:div w:id="469136334">
          <w:marLeft w:val="274"/>
          <w:marRight w:val="0"/>
          <w:marTop w:val="0"/>
          <w:marBottom w:val="0"/>
          <w:divBdr>
            <w:top w:val="none" w:sz="0" w:space="0" w:color="auto"/>
            <w:left w:val="none" w:sz="0" w:space="0" w:color="auto"/>
            <w:bottom w:val="none" w:sz="0" w:space="0" w:color="auto"/>
            <w:right w:val="none" w:sz="0" w:space="0" w:color="auto"/>
          </w:divBdr>
        </w:div>
        <w:div w:id="297801752">
          <w:marLeft w:val="274"/>
          <w:marRight w:val="0"/>
          <w:marTop w:val="0"/>
          <w:marBottom w:val="0"/>
          <w:divBdr>
            <w:top w:val="none" w:sz="0" w:space="0" w:color="auto"/>
            <w:left w:val="none" w:sz="0" w:space="0" w:color="auto"/>
            <w:bottom w:val="none" w:sz="0" w:space="0" w:color="auto"/>
            <w:right w:val="none" w:sz="0" w:space="0" w:color="auto"/>
          </w:divBdr>
        </w:div>
        <w:div w:id="1045835119">
          <w:marLeft w:val="274"/>
          <w:marRight w:val="0"/>
          <w:marTop w:val="0"/>
          <w:marBottom w:val="0"/>
          <w:divBdr>
            <w:top w:val="none" w:sz="0" w:space="0" w:color="auto"/>
            <w:left w:val="none" w:sz="0" w:space="0" w:color="auto"/>
            <w:bottom w:val="none" w:sz="0" w:space="0" w:color="auto"/>
            <w:right w:val="none" w:sz="0" w:space="0" w:color="auto"/>
          </w:divBdr>
        </w:div>
        <w:div w:id="561453663">
          <w:marLeft w:val="274"/>
          <w:marRight w:val="0"/>
          <w:marTop w:val="0"/>
          <w:marBottom w:val="0"/>
          <w:divBdr>
            <w:top w:val="none" w:sz="0" w:space="0" w:color="auto"/>
            <w:left w:val="none" w:sz="0" w:space="0" w:color="auto"/>
            <w:bottom w:val="none" w:sz="0" w:space="0" w:color="auto"/>
            <w:right w:val="none" w:sz="0" w:space="0" w:color="auto"/>
          </w:divBdr>
        </w:div>
      </w:divsChild>
    </w:div>
    <w:div w:id="909123244">
      <w:bodyDiv w:val="1"/>
      <w:marLeft w:val="0"/>
      <w:marRight w:val="0"/>
      <w:marTop w:val="0"/>
      <w:marBottom w:val="0"/>
      <w:divBdr>
        <w:top w:val="none" w:sz="0" w:space="0" w:color="auto"/>
        <w:left w:val="none" w:sz="0" w:space="0" w:color="auto"/>
        <w:bottom w:val="none" w:sz="0" w:space="0" w:color="auto"/>
        <w:right w:val="none" w:sz="0" w:space="0" w:color="auto"/>
      </w:divBdr>
      <w:divsChild>
        <w:div w:id="2033677539">
          <w:marLeft w:val="-108"/>
          <w:marRight w:val="0"/>
          <w:marTop w:val="0"/>
          <w:marBottom w:val="0"/>
          <w:divBdr>
            <w:top w:val="none" w:sz="0" w:space="0" w:color="auto"/>
            <w:left w:val="none" w:sz="0" w:space="0" w:color="auto"/>
            <w:bottom w:val="none" w:sz="0" w:space="0" w:color="auto"/>
            <w:right w:val="none" w:sz="0" w:space="0" w:color="auto"/>
          </w:divBdr>
        </w:div>
        <w:div w:id="76640574">
          <w:marLeft w:val="-964"/>
          <w:marRight w:val="0"/>
          <w:marTop w:val="0"/>
          <w:marBottom w:val="0"/>
          <w:divBdr>
            <w:top w:val="none" w:sz="0" w:space="0" w:color="auto"/>
            <w:left w:val="none" w:sz="0" w:space="0" w:color="auto"/>
            <w:bottom w:val="none" w:sz="0" w:space="0" w:color="auto"/>
            <w:right w:val="none" w:sz="0" w:space="0" w:color="auto"/>
          </w:divBdr>
          <w:divsChild>
            <w:div w:id="497110855">
              <w:marLeft w:val="18"/>
              <w:marRight w:val="0"/>
              <w:marTop w:val="0"/>
              <w:marBottom w:val="0"/>
              <w:divBdr>
                <w:top w:val="none" w:sz="0" w:space="0" w:color="auto"/>
                <w:left w:val="none" w:sz="0" w:space="0" w:color="auto"/>
                <w:bottom w:val="none" w:sz="0" w:space="0" w:color="auto"/>
                <w:right w:val="none" w:sz="0" w:space="0" w:color="auto"/>
              </w:divBdr>
            </w:div>
          </w:divsChild>
        </w:div>
        <w:div w:id="1309242341">
          <w:marLeft w:val="-108"/>
          <w:marRight w:val="0"/>
          <w:marTop w:val="0"/>
          <w:marBottom w:val="0"/>
          <w:divBdr>
            <w:top w:val="none" w:sz="0" w:space="0" w:color="auto"/>
            <w:left w:val="none" w:sz="0" w:space="0" w:color="auto"/>
            <w:bottom w:val="none" w:sz="0" w:space="0" w:color="auto"/>
            <w:right w:val="none" w:sz="0" w:space="0" w:color="auto"/>
          </w:divBdr>
        </w:div>
      </w:divsChild>
    </w:div>
    <w:div w:id="914822331">
      <w:bodyDiv w:val="1"/>
      <w:marLeft w:val="0"/>
      <w:marRight w:val="0"/>
      <w:marTop w:val="0"/>
      <w:marBottom w:val="0"/>
      <w:divBdr>
        <w:top w:val="none" w:sz="0" w:space="0" w:color="auto"/>
        <w:left w:val="none" w:sz="0" w:space="0" w:color="auto"/>
        <w:bottom w:val="none" w:sz="0" w:space="0" w:color="auto"/>
        <w:right w:val="none" w:sz="0" w:space="0" w:color="auto"/>
      </w:divBdr>
    </w:div>
    <w:div w:id="927662734">
      <w:bodyDiv w:val="1"/>
      <w:marLeft w:val="0"/>
      <w:marRight w:val="0"/>
      <w:marTop w:val="0"/>
      <w:marBottom w:val="0"/>
      <w:divBdr>
        <w:top w:val="none" w:sz="0" w:space="0" w:color="auto"/>
        <w:left w:val="none" w:sz="0" w:space="0" w:color="auto"/>
        <w:bottom w:val="none" w:sz="0" w:space="0" w:color="auto"/>
        <w:right w:val="none" w:sz="0" w:space="0" w:color="auto"/>
      </w:divBdr>
      <w:divsChild>
        <w:div w:id="656492426">
          <w:marLeft w:val="0"/>
          <w:marRight w:val="0"/>
          <w:marTop w:val="0"/>
          <w:marBottom w:val="0"/>
          <w:divBdr>
            <w:top w:val="none" w:sz="0" w:space="0" w:color="auto"/>
            <w:left w:val="none" w:sz="0" w:space="0" w:color="auto"/>
            <w:bottom w:val="none" w:sz="0" w:space="0" w:color="auto"/>
            <w:right w:val="none" w:sz="0" w:space="0" w:color="auto"/>
          </w:divBdr>
        </w:div>
        <w:div w:id="423842495">
          <w:marLeft w:val="0"/>
          <w:marRight w:val="0"/>
          <w:marTop w:val="0"/>
          <w:marBottom w:val="0"/>
          <w:divBdr>
            <w:top w:val="none" w:sz="0" w:space="0" w:color="auto"/>
            <w:left w:val="none" w:sz="0" w:space="0" w:color="auto"/>
            <w:bottom w:val="none" w:sz="0" w:space="0" w:color="auto"/>
            <w:right w:val="none" w:sz="0" w:space="0" w:color="auto"/>
          </w:divBdr>
        </w:div>
        <w:div w:id="298531520">
          <w:marLeft w:val="0"/>
          <w:marRight w:val="0"/>
          <w:marTop w:val="0"/>
          <w:marBottom w:val="0"/>
          <w:divBdr>
            <w:top w:val="none" w:sz="0" w:space="0" w:color="auto"/>
            <w:left w:val="none" w:sz="0" w:space="0" w:color="auto"/>
            <w:bottom w:val="none" w:sz="0" w:space="0" w:color="auto"/>
            <w:right w:val="none" w:sz="0" w:space="0" w:color="auto"/>
          </w:divBdr>
        </w:div>
        <w:div w:id="1602303099">
          <w:marLeft w:val="0"/>
          <w:marRight w:val="0"/>
          <w:marTop w:val="0"/>
          <w:marBottom w:val="0"/>
          <w:divBdr>
            <w:top w:val="none" w:sz="0" w:space="0" w:color="auto"/>
            <w:left w:val="none" w:sz="0" w:space="0" w:color="auto"/>
            <w:bottom w:val="none" w:sz="0" w:space="0" w:color="auto"/>
            <w:right w:val="none" w:sz="0" w:space="0" w:color="auto"/>
          </w:divBdr>
        </w:div>
        <w:div w:id="1972786922">
          <w:marLeft w:val="0"/>
          <w:marRight w:val="0"/>
          <w:marTop w:val="0"/>
          <w:marBottom w:val="0"/>
          <w:divBdr>
            <w:top w:val="none" w:sz="0" w:space="0" w:color="auto"/>
            <w:left w:val="none" w:sz="0" w:space="0" w:color="auto"/>
            <w:bottom w:val="none" w:sz="0" w:space="0" w:color="auto"/>
            <w:right w:val="none" w:sz="0" w:space="0" w:color="auto"/>
          </w:divBdr>
        </w:div>
        <w:div w:id="1998876371">
          <w:marLeft w:val="0"/>
          <w:marRight w:val="0"/>
          <w:marTop w:val="0"/>
          <w:marBottom w:val="0"/>
          <w:divBdr>
            <w:top w:val="none" w:sz="0" w:space="0" w:color="auto"/>
            <w:left w:val="none" w:sz="0" w:space="0" w:color="auto"/>
            <w:bottom w:val="none" w:sz="0" w:space="0" w:color="auto"/>
            <w:right w:val="none" w:sz="0" w:space="0" w:color="auto"/>
          </w:divBdr>
        </w:div>
        <w:div w:id="1076171681">
          <w:marLeft w:val="0"/>
          <w:marRight w:val="0"/>
          <w:marTop w:val="0"/>
          <w:marBottom w:val="0"/>
          <w:divBdr>
            <w:top w:val="none" w:sz="0" w:space="0" w:color="auto"/>
            <w:left w:val="none" w:sz="0" w:space="0" w:color="auto"/>
            <w:bottom w:val="none" w:sz="0" w:space="0" w:color="auto"/>
            <w:right w:val="none" w:sz="0" w:space="0" w:color="auto"/>
          </w:divBdr>
        </w:div>
        <w:div w:id="494609550">
          <w:marLeft w:val="0"/>
          <w:marRight w:val="0"/>
          <w:marTop w:val="0"/>
          <w:marBottom w:val="0"/>
          <w:divBdr>
            <w:top w:val="none" w:sz="0" w:space="0" w:color="auto"/>
            <w:left w:val="none" w:sz="0" w:space="0" w:color="auto"/>
            <w:bottom w:val="none" w:sz="0" w:space="0" w:color="auto"/>
            <w:right w:val="none" w:sz="0" w:space="0" w:color="auto"/>
          </w:divBdr>
        </w:div>
        <w:div w:id="2054695385">
          <w:marLeft w:val="0"/>
          <w:marRight w:val="0"/>
          <w:marTop w:val="0"/>
          <w:marBottom w:val="0"/>
          <w:divBdr>
            <w:top w:val="none" w:sz="0" w:space="0" w:color="auto"/>
            <w:left w:val="none" w:sz="0" w:space="0" w:color="auto"/>
            <w:bottom w:val="none" w:sz="0" w:space="0" w:color="auto"/>
            <w:right w:val="none" w:sz="0" w:space="0" w:color="auto"/>
          </w:divBdr>
        </w:div>
        <w:div w:id="1812942034">
          <w:marLeft w:val="0"/>
          <w:marRight w:val="0"/>
          <w:marTop w:val="0"/>
          <w:marBottom w:val="0"/>
          <w:divBdr>
            <w:top w:val="none" w:sz="0" w:space="0" w:color="auto"/>
            <w:left w:val="none" w:sz="0" w:space="0" w:color="auto"/>
            <w:bottom w:val="none" w:sz="0" w:space="0" w:color="auto"/>
            <w:right w:val="none" w:sz="0" w:space="0" w:color="auto"/>
          </w:divBdr>
        </w:div>
        <w:div w:id="1031733837">
          <w:marLeft w:val="0"/>
          <w:marRight w:val="0"/>
          <w:marTop w:val="0"/>
          <w:marBottom w:val="0"/>
          <w:divBdr>
            <w:top w:val="none" w:sz="0" w:space="0" w:color="auto"/>
            <w:left w:val="none" w:sz="0" w:space="0" w:color="auto"/>
            <w:bottom w:val="none" w:sz="0" w:space="0" w:color="auto"/>
            <w:right w:val="none" w:sz="0" w:space="0" w:color="auto"/>
          </w:divBdr>
        </w:div>
        <w:div w:id="1060834637">
          <w:marLeft w:val="0"/>
          <w:marRight w:val="0"/>
          <w:marTop w:val="0"/>
          <w:marBottom w:val="0"/>
          <w:divBdr>
            <w:top w:val="none" w:sz="0" w:space="0" w:color="auto"/>
            <w:left w:val="none" w:sz="0" w:space="0" w:color="auto"/>
            <w:bottom w:val="none" w:sz="0" w:space="0" w:color="auto"/>
            <w:right w:val="none" w:sz="0" w:space="0" w:color="auto"/>
          </w:divBdr>
        </w:div>
        <w:div w:id="1402094032">
          <w:marLeft w:val="0"/>
          <w:marRight w:val="0"/>
          <w:marTop w:val="0"/>
          <w:marBottom w:val="0"/>
          <w:divBdr>
            <w:top w:val="none" w:sz="0" w:space="0" w:color="auto"/>
            <w:left w:val="none" w:sz="0" w:space="0" w:color="auto"/>
            <w:bottom w:val="none" w:sz="0" w:space="0" w:color="auto"/>
            <w:right w:val="none" w:sz="0" w:space="0" w:color="auto"/>
          </w:divBdr>
        </w:div>
        <w:div w:id="1747804870">
          <w:marLeft w:val="0"/>
          <w:marRight w:val="0"/>
          <w:marTop w:val="0"/>
          <w:marBottom w:val="0"/>
          <w:divBdr>
            <w:top w:val="none" w:sz="0" w:space="0" w:color="auto"/>
            <w:left w:val="none" w:sz="0" w:space="0" w:color="auto"/>
            <w:bottom w:val="none" w:sz="0" w:space="0" w:color="auto"/>
            <w:right w:val="none" w:sz="0" w:space="0" w:color="auto"/>
          </w:divBdr>
        </w:div>
        <w:div w:id="2002850554">
          <w:marLeft w:val="0"/>
          <w:marRight w:val="0"/>
          <w:marTop w:val="0"/>
          <w:marBottom w:val="0"/>
          <w:divBdr>
            <w:top w:val="none" w:sz="0" w:space="0" w:color="auto"/>
            <w:left w:val="none" w:sz="0" w:space="0" w:color="auto"/>
            <w:bottom w:val="none" w:sz="0" w:space="0" w:color="auto"/>
            <w:right w:val="none" w:sz="0" w:space="0" w:color="auto"/>
          </w:divBdr>
        </w:div>
        <w:div w:id="503132263">
          <w:marLeft w:val="0"/>
          <w:marRight w:val="0"/>
          <w:marTop w:val="0"/>
          <w:marBottom w:val="0"/>
          <w:divBdr>
            <w:top w:val="none" w:sz="0" w:space="0" w:color="auto"/>
            <w:left w:val="none" w:sz="0" w:space="0" w:color="auto"/>
            <w:bottom w:val="none" w:sz="0" w:space="0" w:color="auto"/>
            <w:right w:val="none" w:sz="0" w:space="0" w:color="auto"/>
          </w:divBdr>
        </w:div>
        <w:div w:id="1941258926">
          <w:marLeft w:val="0"/>
          <w:marRight w:val="0"/>
          <w:marTop w:val="0"/>
          <w:marBottom w:val="0"/>
          <w:divBdr>
            <w:top w:val="none" w:sz="0" w:space="0" w:color="auto"/>
            <w:left w:val="none" w:sz="0" w:space="0" w:color="auto"/>
            <w:bottom w:val="none" w:sz="0" w:space="0" w:color="auto"/>
            <w:right w:val="none" w:sz="0" w:space="0" w:color="auto"/>
          </w:divBdr>
        </w:div>
      </w:divsChild>
    </w:div>
    <w:div w:id="931664125">
      <w:bodyDiv w:val="1"/>
      <w:marLeft w:val="0"/>
      <w:marRight w:val="0"/>
      <w:marTop w:val="0"/>
      <w:marBottom w:val="0"/>
      <w:divBdr>
        <w:top w:val="none" w:sz="0" w:space="0" w:color="auto"/>
        <w:left w:val="none" w:sz="0" w:space="0" w:color="auto"/>
        <w:bottom w:val="none" w:sz="0" w:space="0" w:color="auto"/>
        <w:right w:val="none" w:sz="0" w:space="0" w:color="auto"/>
      </w:divBdr>
      <w:divsChild>
        <w:div w:id="1171991351">
          <w:marLeft w:val="274"/>
          <w:marRight w:val="0"/>
          <w:marTop w:val="0"/>
          <w:marBottom w:val="0"/>
          <w:divBdr>
            <w:top w:val="none" w:sz="0" w:space="0" w:color="auto"/>
            <w:left w:val="none" w:sz="0" w:space="0" w:color="auto"/>
            <w:bottom w:val="none" w:sz="0" w:space="0" w:color="auto"/>
            <w:right w:val="none" w:sz="0" w:space="0" w:color="auto"/>
          </w:divBdr>
        </w:div>
        <w:div w:id="131601447">
          <w:marLeft w:val="274"/>
          <w:marRight w:val="0"/>
          <w:marTop w:val="0"/>
          <w:marBottom w:val="0"/>
          <w:divBdr>
            <w:top w:val="none" w:sz="0" w:space="0" w:color="auto"/>
            <w:left w:val="none" w:sz="0" w:space="0" w:color="auto"/>
            <w:bottom w:val="none" w:sz="0" w:space="0" w:color="auto"/>
            <w:right w:val="none" w:sz="0" w:space="0" w:color="auto"/>
          </w:divBdr>
        </w:div>
      </w:divsChild>
    </w:div>
    <w:div w:id="988553802">
      <w:bodyDiv w:val="1"/>
      <w:marLeft w:val="0"/>
      <w:marRight w:val="0"/>
      <w:marTop w:val="0"/>
      <w:marBottom w:val="0"/>
      <w:divBdr>
        <w:top w:val="none" w:sz="0" w:space="0" w:color="auto"/>
        <w:left w:val="none" w:sz="0" w:space="0" w:color="auto"/>
        <w:bottom w:val="none" w:sz="0" w:space="0" w:color="auto"/>
        <w:right w:val="none" w:sz="0" w:space="0" w:color="auto"/>
      </w:divBdr>
      <w:divsChild>
        <w:div w:id="1943797901">
          <w:marLeft w:val="274"/>
          <w:marRight w:val="0"/>
          <w:marTop w:val="0"/>
          <w:marBottom w:val="0"/>
          <w:divBdr>
            <w:top w:val="none" w:sz="0" w:space="0" w:color="auto"/>
            <w:left w:val="none" w:sz="0" w:space="0" w:color="auto"/>
            <w:bottom w:val="none" w:sz="0" w:space="0" w:color="auto"/>
            <w:right w:val="none" w:sz="0" w:space="0" w:color="auto"/>
          </w:divBdr>
        </w:div>
        <w:div w:id="601256932">
          <w:marLeft w:val="274"/>
          <w:marRight w:val="0"/>
          <w:marTop w:val="0"/>
          <w:marBottom w:val="0"/>
          <w:divBdr>
            <w:top w:val="none" w:sz="0" w:space="0" w:color="auto"/>
            <w:left w:val="none" w:sz="0" w:space="0" w:color="auto"/>
            <w:bottom w:val="none" w:sz="0" w:space="0" w:color="auto"/>
            <w:right w:val="none" w:sz="0" w:space="0" w:color="auto"/>
          </w:divBdr>
        </w:div>
        <w:div w:id="644355483">
          <w:marLeft w:val="274"/>
          <w:marRight w:val="0"/>
          <w:marTop w:val="0"/>
          <w:marBottom w:val="0"/>
          <w:divBdr>
            <w:top w:val="none" w:sz="0" w:space="0" w:color="auto"/>
            <w:left w:val="none" w:sz="0" w:space="0" w:color="auto"/>
            <w:bottom w:val="none" w:sz="0" w:space="0" w:color="auto"/>
            <w:right w:val="none" w:sz="0" w:space="0" w:color="auto"/>
          </w:divBdr>
        </w:div>
        <w:div w:id="1169980405">
          <w:marLeft w:val="446"/>
          <w:marRight w:val="0"/>
          <w:marTop w:val="0"/>
          <w:marBottom w:val="0"/>
          <w:divBdr>
            <w:top w:val="none" w:sz="0" w:space="0" w:color="auto"/>
            <w:left w:val="none" w:sz="0" w:space="0" w:color="auto"/>
            <w:bottom w:val="none" w:sz="0" w:space="0" w:color="auto"/>
            <w:right w:val="none" w:sz="0" w:space="0" w:color="auto"/>
          </w:divBdr>
        </w:div>
        <w:div w:id="1507133292">
          <w:marLeft w:val="446"/>
          <w:marRight w:val="0"/>
          <w:marTop w:val="0"/>
          <w:marBottom w:val="0"/>
          <w:divBdr>
            <w:top w:val="none" w:sz="0" w:space="0" w:color="auto"/>
            <w:left w:val="none" w:sz="0" w:space="0" w:color="auto"/>
            <w:bottom w:val="none" w:sz="0" w:space="0" w:color="auto"/>
            <w:right w:val="none" w:sz="0" w:space="0" w:color="auto"/>
          </w:divBdr>
        </w:div>
        <w:div w:id="908156240">
          <w:marLeft w:val="446"/>
          <w:marRight w:val="0"/>
          <w:marTop w:val="0"/>
          <w:marBottom w:val="0"/>
          <w:divBdr>
            <w:top w:val="none" w:sz="0" w:space="0" w:color="auto"/>
            <w:left w:val="none" w:sz="0" w:space="0" w:color="auto"/>
            <w:bottom w:val="none" w:sz="0" w:space="0" w:color="auto"/>
            <w:right w:val="none" w:sz="0" w:space="0" w:color="auto"/>
          </w:divBdr>
        </w:div>
        <w:div w:id="1574849037">
          <w:marLeft w:val="274"/>
          <w:marRight w:val="0"/>
          <w:marTop w:val="0"/>
          <w:marBottom w:val="0"/>
          <w:divBdr>
            <w:top w:val="none" w:sz="0" w:space="0" w:color="auto"/>
            <w:left w:val="none" w:sz="0" w:space="0" w:color="auto"/>
            <w:bottom w:val="none" w:sz="0" w:space="0" w:color="auto"/>
            <w:right w:val="none" w:sz="0" w:space="0" w:color="auto"/>
          </w:divBdr>
        </w:div>
        <w:div w:id="1678076935">
          <w:marLeft w:val="274"/>
          <w:marRight w:val="0"/>
          <w:marTop w:val="0"/>
          <w:marBottom w:val="0"/>
          <w:divBdr>
            <w:top w:val="none" w:sz="0" w:space="0" w:color="auto"/>
            <w:left w:val="none" w:sz="0" w:space="0" w:color="auto"/>
            <w:bottom w:val="none" w:sz="0" w:space="0" w:color="auto"/>
            <w:right w:val="none" w:sz="0" w:space="0" w:color="auto"/>
          </w:divBdr>
        </w:div>
        <w:div w:id="198973440">
          <w:marLeft w:val="274"/>
          <w:marRight w:val="0"/>
          <w:marTop w:val="0"/>
          <w:marBottom w:val="0"/>
          <w:divBdr>
            <w:top w:val="none" w:sz="0" w:space="0" w:color="auto"/>
            <w:left w:val="none" w:sz="0" w:space="0" w:color="auto"/>
            <w:bottom w:val="none" w:sz="0" w:space="0" w:color="auto"/>
            <w:right w:val="none" w:sz="0" w:space="0" w:color="auto"/>
          </w:divBdr>
        </w:div>
      </w:divsChild>
    </w:div>
    <w:div w:id="1003243238">
      <w:bodyDiv w:val="1"/>
      <w:marLeft w:val="0"/>
      <w:marRight w:val="0"/>
      <w:marTop w:val="0"/>
      <w:marBottom w:val="0"/>
      <w:divBdr>
        <w:top w:val="none" w:sz="0" w:space="0" w:color="auto"/>
        <w:left w:val="none" w:sz="0" w:space="0" w:color="auto"/>
        <w:bottom w:val="none" w:sz="0" w:space="0" w:color="auto"/>
        <w:right w:val="none" w:sz="0" w:space="0" w:color="auto"/>
      </w:divBdr>
      <w:divsChild>
        <w:div w:id="1258757100">
          <w:marLeft w:val="-964"/>
          <w:marRight w:val="0"/>
          <w:marTop w:val="0"/>
          <w:marBottom w:val="0"/>
          <w:divBdr>
            <w:top w:val="none" w:sz="0" w:space="0" w:color="auto"/>
            <w:left w:val="none" w:sz="0" w:space="0" w:color="auto"/>
            <w:bottom w:val="none" w:sz="0" w:space="0" w:color="auto"/>
            <w:right w:val="none" w:sz="0" w:space="0" w:color="auto"/>
          </w:divBdr>
          <w:divsChild>
            <w:div w:id="775323596">
              <w:marLeft w:val="18"/>
              <w:marRight w:val="0"/>
              <w:marTop w:val="0"/>
              <w:marBottom w:val="0"/>
              <w:divBdr>
                <w:top w:val="none" w:sz="0" w:space="0" w:color="auto"/>
                <w:left w:val="none" w:sz="0" w:space="0" w:color="auto"/>
                <w:bottom w:val="none" w:sz="0" w:space="0" w:color="auto"/>
                <w:right w:val="none" w:sz="0" w:space="0" w:color="auto"/>
              </w:divBdr>
            </w:div>
          </w:divsChild>
        </w:div>
      </w:divsChild>
    </w:div>
    <w:div w:id="1042367699">
      <w:bodyDiv w:val="1"/>
      <w:marLeft w:val="0"/>
      <w:marRight w:val="0"/>
      <w:marTop w:val="0"/>
      <w:marBottom w:val="0"/>
      <w:divBdr>
        <w:top w:val="none" w:sz="0" w:space="0" w:color="auto"/>
        <w:left w:val="none" w:sz="0" w:space="0" w:color="auto"/>
        <w:bottom w:val="none" w:sz="0" w:space="0" w:color="auto"/>
        <w:right w:val="none" w:sz="0" w:space="0" w:color="auto"/>
      </w:divBdr>
      <w:divsChild>
        <w:div w:id="1882403003">
          <w:marLeft w:val="0"/>
          <w:marRight w:val="0"/>
          <w:marTop w:val="0"/>
          <w:marBottom w:val="120"/>
          <w:divBdr>
            <w:top w:val="none" w:sz="0" w:space="0" w:color="auto"/>
            <w:left w:val="none" w:sz="0" w:space="0" w:color="auto"/>
            <w:bottom w:val="single" w:sz="12" w:space="9" w:color="EBEBEB"/>
            <w:right w:val="none" w:sz="0" w:space="0" w:color="auto"/>
          </w:divBdr>
          <w:divsChild>
            <w:div w:id="1950235792">
              <w:marLeft w:val="0"/>
              <w:marRight w:val="0"/>
              <w:marTop w:val="100"/>
              <w:marBottom w:val="100"/>
              <w:divBdr>
                <w:top w:val="none" w:sz="0" w:space="0" w:color="auto"/>
                <w:left w:val="none" w:sz="0" w:space="0" w:color="auto"/>
                <w:bottom w:val="none" w:sz="0" w:space="0" w:color="auto"/>
                <w:right w:val="none" w:sz="0" w:space="0" w:color="auto"/>
              </w:divBdr>
              <w:divsChild>
                <w:div w:id="1861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256">
          <w:marLeft w:val="0"/>
          <w:marRight w:val="0"/>
          <w:marTop w:val="0"/>
          <w:marBottom w:val="120"/>
          <w:divBdr>
            <w:top w:val="none" w:sz="0" w:space="0" w:color="auto"/>
            <w:left w:val="none" w:sz="0" w:space="0" w:color="auto"/>
            <w:bottom w:val="none" w:sz="0" w:space="0" w:color="auto"/>
            <w:right w:val="none" w:sz="0" w:space="0" w:color="auto"/>
          </w:divBdr>
          <w:divsChild>
            <w:div w:id="1565139330">
              <w:marLeft w:val="0"/>
              <w:marRight w:val="0"/>
              <w:marTop w:val="0"/>
              <w:marBottom w:val="0"/>
              <w:divBdr>
                <w:top w:val="none" w:sz="0" w:space="0" w:color="auto"/>
                <w:left w:val="none" w:sz="0" w:space="0" w:color="auto"/>
                <w:bottom w:val="none" w:sz="0" w:space="0" w:color="auto"/>
                <w:right w:val="none" w:sz="0" w:space="0" w:color="auto"/>
              </w:divBdr>
              <w:divsChild>
                <w:div w:id="598757434">
                  <w:marLeft w:val="0"/>
                  <w:marRight w:val="0"/>
                  <w:marTop w:val="0"/>
                  <w:marBottom w:val="0"/>
                  <w:divBdr>
                    <w:top w:val="none" w:sz="0" w:space="0" w:color="auto"/>
                    <w:left w:val="none" w:sz="0" w:space="0" w:color="auto"/>
                    <w:bottom w:val="none" w:sz="0" w:space="0" w:color="auto"/>
                    <w:right w:val="none" w:sz="0" w:space="0" w:color="auto"/>
                  </w:divBdr>
                  <w:divsChild>
                    <w:div w:id="333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2177">
      <w:bodyDiv w:val="1"/>
      <w:marLeft w:val="0"/>
      <w:marRight w:val="0"/>
      <w:marTop w:val="0"/>
      <w:marBottom w:val="0"/>
      <w:divBdr>
        <w:top w:val="none" w:sz="0" w:space="0" w:color="auto"/>
        <w:left w:val="none" w:sz="0" w:space="0" w:color="auto"/>
        <w:bottom w:val="none" w:sz="0" w:space="0" w:color="auto"/>
        <w:right w:val="none" w:sz="0" w:space="0" w:color="auto"/>
      </w:divBdr>
    </w:div>
    <w:div w:id="1075006438">
      <w:bodyDiv w:val="1"/>
      <w:marLeft w:val="0"/>
      <w:marRight w:val="0"/>
      <w:marTop w:val="0"/>
      <w:marBottom w:val="0"/>
      <w:divBdr>
        <w:top w:val="none" w:sz="0" w:space="0" w:color="auto"/>
        <w:left w:val="none" w:sz="0" w:space="0" w:color="auto"/>
        <w:bottom w:val="none" w:sz="0" w:space="0" w:color="auto"/>
        <w:right w:val="none" w:sz="0" w:space="0" w:color="auto"/>
      </w:divBdr>
    </w:div>
    <w:div w:id="1084952215">
      <w:bodyDiv w:val="1"/>
      <w:marLeft w:val="0"/>
      <w:marRight w:val="0"/>
      <w:marTop w:val="0"/>
      <w:marBottom w:val="0"/>
      <w:divBdr>
        <w:top w:val="none" w:sz="0" w:space="0" w:color="auto"/>
        <w:left w:val="none" w:sz="0" w:space="0" w:color="auto"/>
        <w:bottom w:val="none" w:sz="0" w:space="0" w:color="auto"/>
        <w:right w:val="none" w:sz="0" w:space="0" w:color="auto"/>
      </w:divBdr>
      <w:divsChild>
        <w:div w:id="1097796147">
          <w:marLeft w:val="274"/>
          <w:marRight w:val="0"/>
          <w:marTop w:val="0"/>
          <w:marBottom w:val="0"/>
          <w:divBdr>
            <w:top w:val="none" w:sz="0" w:space="0" w:color="auto"/>
            <w:left w:val="none" w:sz="0" w:space="0" w:color="auto"/>
            <w:bottom w:val="none" w:sz="0" w:space="0" w:color="auto"/>
            <w:right w:val="none" w:sz="0" w:space="0" w:color="auto"/>
          </w:divBdr>
        </w:div>
        <w:div w:id="1889603672">
          <w:marLeft w:val="274"/>
          <w:marRight w:val="0"/>
          <w:marTop w:val="0"/>
          <w:marBottom w:val="0"/>
          <w:divBdr>
            <w:top w:val="none" w:sz="0" w:space="0" w:color="auto"/>
            <w:left w:val="none" w:sz="0" w:space="0" w:color="auto"/>
            <w:bottom w:val="none" w:sz="0" w:space="0" w:color="auto"/>
            <w:right w:val="none" w:sz="0" w:space="0" w:color="auto"/>
          </w:divBdr>
        </w:div>
        <w:div w:id="2023968459">
          <w:marLeft w:val="274"/>
          <w:marRight w:val="0"/>
          <w:marTop w:val="0"/>
          <w:marBottom w:val="0"/>
          <w:divBdr>
            <w:top w:val="none" w:sz="0" w:space="0" w:color="auto"/>
            <w:left w:val="none" w:sz="0" w:space="0" w:color="auto"/>
            <w:bottom w:val="none" w:sz="0" w:space="0" w:color="auto"/>
            <w:right w:val="none" w:sz="0" w:space="0" w:color="auto"/>
          </w:divBdr>
        </w:div>
        <w:div w:id="298923416">
          <w:marLeft w:val="274"/>
          <w:marRight w:val="0"/>
          <w:marTop w:val="0"/>
          <w:marBottom w:val="0"/>
          <w:divBdr>
            <w:top w:val="none" w:sz="0" w:space="0" w:color="auto"/>
            <w:left w:val="none" w:sz="0" w:space="0" w:color="auto"/>
            <w:bottom w:val="none" w:sz="0" w:space="0" w:color="auto"/>
            <w:right w:val="none" w:sz="0" w:space="0" w:color="auto"/>
          </w:divBdr>
        </w:div>
        <w:div w:id="934824387">
          <w:marLeft w:val="274"/>
          <w:marRight w:val="0"/>
          <w:marTop w:val="0"/>
          <w:marBottom w:val="0"/>
          <w:divBdr>
            <w:top w:val="none" w:sz="0" w:space="0" w:color="auto"/>
            <w:left w:val="none" w:sz="0" w:space="0" w:color="auto"/>
            <w:bottom w:val="none" w:sz="0" w:space="0" w:color="auto"/>
            <w:right w:val="none" w:sz="0" w:space="0" w:color="auto"/>
          </w:divBdr>
        </w:div>
        <w:div w:id="530845468">
          <w:marLeft w:val="274"/>
          <w:marRight w:val="0"/>
          <w:marTop w:val="0"/>
          <w:marBottom w:val="0"/>
          <w:divBdr>
            <w:top w:val="none" w:sz="0" w:space="0" w:color="auto"/>
            <w:left w:val="none" w:sz="0" w:space="0" w:color="auto"/>
            <w:bottom w:val="none" w:sz="0" w:space="0" w:color="auto"/>
            <w:right w:val="none" w:sz="0" w:space="0" w:color="auto"/>
          </w:divBdr>
        </w:div>
      </w:divsChild>
    </w:div>
    <w:div w:id="1091899810">
      <w:bodyDiv w:val="1"/>
      <w:marLeft w:val="0"/>
      <w:marRight w:val="0"/>
      <w:marTop w:val="0"/>
      <w:marBottom w:val="0"/>
      <w:divBdr>
        <w:top w:val="none" w:sz="0" w:space="0" w:color="auto"/>
        <w:left w:val="none" w:sz="0" w:space="0" w:color="auto"/>
        <w:bottom w:val="none" w:sz="0" w:space="0" w:color="auto"/>
        <w:right w:val="none" w:sz="0" w:space="0" w:color="auto"/>
      </w:divBdr>
    </w:div>
    <w:div w:id="1164316849">
      <w:bodyDiv w:val="1"/>
      <w:marLeft w:val="0"/>
      <w:marRight w:val="0"/>
      <w:marTop w:val="0"/>
      <w:marBottom w:val="0"/>
      <w:divBdr>
        <w:top w:val="none" w:sz="0" w:space="0" w:color="auto"/>
        <w:left w:val="none" w:sz="0" w:space="0" w:color="auto"/>
        <w:bottom w:val="none" w:sz="0" w:space="0" w:color="auto"/>
        <w:right w:val="none" w:sz="0" w:space="0" w:color="auto"/>
      </w:divBdr>
    </w:div>
    <w:div w:id="1168641949">
      <w:bodyDiv w:val="1"/>
      <w:marLeft w:val="0"/>
      <w:marRight w:val="0"/>
      <w:marTop w:val="0"/>
      <w:marBottom w:val="0"/>
      <w:divBdr>
        <w:top w:val="none" w:sz="0" w:space="0" w:color="auto"/>
        <w:left w:val="none" w:sz="0" w:space="0" w:color="auto"/>
        <w:bottom w:val="none" w:sz="0" w:space="0" w:color="auto"/>
        <w:right w:val="none" w:sz="0" w:space="0" w:color="auto"/>
      </w:divBdr>
      <w:divsChild>
        <w:div w:id="940723747">
          <w:marLeft w:val="0"/>
          <w:marRight w:val="0"/>
          <w:marTop w:val="0"/>
          <w:marBottom w:val="0"/>
          <w:divBdr>
            <w:top w:val="single" w:sz="24" w:space="0" w:color="F0F0F0"/>
            <w:left w:val="single" w:sz="24" w:space="0" w:color="F0F0F0"/>
            <w:bottom w:val="single" w:sz="24" w:space="0" w:color="F0F0F0"/>
            <w:right w:val="single" w:sz="24" w:space="0" w:color="F0F0F0"/>
          </w:divBdr>
          <w:divsChild>
            <w:div w:id="18322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3614">
      <w:bodyDiv w:val="1"/>
      <w:marLeft w:val="0"/>
      <w:marRight w:val="0"/>
      <w:marTop w:val="0"/>
      <w:marBottom w:val="0"/>
      <w:divBdr>
        <w:top w:val="none" w:sz="0" w:space="0" w:color="auto"/>
        <w:left w:val="none" w:sz="0" w:space="0" w:color="auto"/>
        <w:bottom w:val="none" w:sz="0" w:space="0" w:color="auto"/>
        <w:right w:val="none" w:sz="0" w:space="0" w:color="auto"/>
      </w:divBdr>
    </w:div>
    <w:div w:id="1311054331">
      <w:bodyDiv w:val="1"/>
      <w:marLeft w:val="0"/>
      <w:marRight w:val="0"/>
      <w:marTop w:val="0"/>
      <w:marBottom w:val="0"/>
      <w:divBdr>
        <w:top w:val="none" w:sz="0" w:space="0" w:color="auto"/>
        <w:left w:val="none" w:sz="0" w:space="0" w:color="auto"/>
        <w:bottom w:val="none" w:sz="0" w:space="0" w:color="auto"/>
        <w:right w:val="none" w:sz="0" w:space="0" w:color="auto"/>
      </w:divBdr>
    </w:div>
    <w:div w:id="1334842344">
      <w:bodyDiv w:val="1"/>
      <w:marLeft w:val="0"/>
      <w:marRight w:val="0"/>
      <w:marTop w:val="0"/>
      <w:marBottom w:val="0"/>
      <w:divBdr>
        <w:top w:val="none" w:sz="0" w:space="0" w:color="auto"/>
        <w:left w:val="none" w:sz="0" w:space="0" w:color="auto"/>
        <w:bottom w:val="none" w:sz="0" w:space="0" w:color="auto"/>
        <w:right w:val="none" w:sz="0" w:space="0" w:color="auto"/>
      </w:divBdr>
    </w:div>
    <w:div w:id="1338465260">
      <w:bodyDiv w:val="1"/>
      <w:marLeft w:val="0"/>
      <w:marRight w:val="0"/>
      <w:marTop w:val="0"/>
      <w:marBottom w:val="0"/>
      <w:divBdr>
        <w:top w:val="none" w:sz="0" w:space="0" w:color="auto"/>
        <w:left w:val="none" w:sz="0" w:space="0" w:color="auto"/>
        <w:bottom w:val="none" w:sz="0" w:space="0" w:color="auto"/>
        <w:right w:val="none" w:sz="0" w:space="0" w:color="auto"/>
      </w:divBdr>
    </w:div>
    <w:div w:id="1449201232">
      <w:bodyDiv w:val="1"/>
      <w:marLeft w:val="0"/>
      <w:marRight w:val="0"/>
      <w:marTop w:val="0"/>
      <w:marBottom w:val="0"/>
      <w:divBdr>
        <w:top w:val="none" w:sz="0" w:space="0" w:color="auto"/>
        <w:left w:val="none" w:sz="0" w:space="0" w:color="auto"/>
        <w:bottom w:val="none" w:sz="0" w:space="0" w:color="auto"/>
        <w:right w:val="none" w:sz="0" w:space="0" w:color="auto"/>
      </w:divBdr>
    </w:div>
    <w:div w:id="1506018564">
      <w:bodyDiv w:val="1"/>
      <w:marLeft w:val="0"/>
      <w:marRight w:val="0"/>
      <w:marTop w:val="0"/>
      <w:marBottom w:val="0"/>
      <w:divBdr>
        <w:top w:val="none" w:sz="0" w:space="0" w:color="auto"/>
        <w:left w:val="none" w:sz="0" w:space="0" w:color="auto"/>
        <w:bottom w:val="none" w:sz="0" w:space="0" w:color="auto"/>
        <w:right w:val="none" w:sz="0" w:space="0" w:color="auto"/>
      </w:divBdr>
      <w:divsChild>
        <w:div w:id="1947495628">
          <w:marLeft w:val="274"/>
          <w:marRight w:val="0"/>
          <w:marTop w:val="0"/>
          <w:marBottom w:val="0"/>
          <w:divBdr>
            <w:top w:val="none" w:sz="0" w:space="0" w:color="auto"/>
            <w:left w:val="none" w:sz="0" w:space="0" w:color="auto"/>
            <w:bottom w:val="none" w:sz="0" w:space="0" w:color="auto"/>
            <w:right w:val="none" w:sz="0" w:space="0" w:color="auto"/>
          </w:divBdr>
        </w:div>
        <w:div w:id="1573806121">
          <w:marLeft w:val="274"/>
          <w:marRight w:val="0"/>
          <w:marTop w:val="0"/>
          <w:marBottom w:val="0"/>
          <w:divBdr>
            <w:top w:val="none" w:sz="0" w:space="0" w:color="auto"/>
            <w:left w:val="none" w:sz="0" w:space="0" w:color="auto"/>
            <w:bottom w:val="none" w:sz="0" w:space="0" w:color="auto"/>
            <w:right w:val="none" w:sz="0" w:space="0" w:color="auto"/>
          </w:divBdr>
        </w:div>
        <w:div w:id="926766525">
          <w:marLeft w:val="274"/>
          <w:marRight w:val="0"/>
          <w:marTop w:val="0"/>
          <w:marBottom w:val="0"/>
          <w:divBdr>
            <w:top w:val="none" w:sz="0" w:space="0" w:color="auto"/>
            <w:left w:val="none" w:sz="0" w:space="0" w:color="auto"/>
            <w:bottom w:val="none" w:sz="0" w:space="0" w:color="auto"/>
            <w:right w:val="none" w:sz="0" w:space="0" w:color="auto"/>
          </w:divBdr>
        </w:div>
      </w:divsChild>
    </w:div>
    <w:div w:id="1556309686">
      <w:bodyDiv w:val="1"/>
      <w:marLeft w:val="0"/>
      <w:marRight w:val="0"/>
      <w:marTop w:val="0"/>
      <w:marBottom w:val="0"/>
      <w:divBdr>
        <w:top w:val="none" w:sz="0" w:space="0" w:color="auto"/>
        <w:left w:val="none" w:sz="0" w:space="0" w:color="auto"/>
        <w:bottom w:val="none" w:sz="0" w:space="0" w:color="auto"/>
        <w:right w:val="none" w:sz="0" w:space="0" w:color="auto"/>
      </w:divBdr>
    </w:div>
    <w:div w:id="1598059310">
      <w:bodyDiv w:val="1"/>
      <w:marLeft w:val="0"/>
      <w:marRight w:val="0"/>
      <w:marTop w:val="0"/>
      <w:marBottom w:val="0"/>
      <w:divBdr>
        <w:top w:val="none" w:sz="0" w:space="0" w:color="auto"/>
        <w:left w:val="none" w:sz="0" w:space="0" w:color="auto"/>
        <w:bottom w:val="none" w:sz="0" w:space="0" w:color="auto"/>
        <w:right w:val="none" w:sz="0" w:space="0" w:color="auto"/>
      </w:divBdr>
      <w:divsChild>
        <w:div w:id="1330477487">
          <w:marLeft w:val="-964"/>
          <w:marRight w:val="0"/>
          <w:marTop w:val="0"/>
          <w:marBottom w:val="0"/>
          <w:divBdr>
            <w:top w:val="none" w:sz="0" w:space="0" w:color="auto"/>
            <w:left w:val="none" w:sz="0" w:space="0" w:color="auto"/>
            <w:bottom w:val="none" w:sz="0" w:space="0" w:color="auto"/>
            <w:right w:val="none" w:sz="0" w:space="0" w:color="auto"/>
          </w:divBdr>
          <w:divsChild>
            <w:div w:id="1606645410">
              <w:marLeft w:val="18"/>
              <w:marRight w:val="0"/>
              <w:marTop w:val="0"/>
              <w:marBottom w:val="0"/>
              <w:divBdr>
                <w:top w:val="none" w:sz="0" w:space="0" w:color="auto"/>
                <w:left w:val="none" w:sz="0" w:space="0" w:color="auto"/>
                <w:bottom w:val="none" w:sz="0" w:space="0" w:color="auto"/>
                <w:right w:val="none" w:sz="0" w:space="0" w:color="auto"/>
              </w:divBdr>
            </w:div>
          </w:divsChild>
        </w:div>
      </w:divsChild>
    </w:div>
    <w:div w:id="1659730982">
      <w:bodyDiv w:val="1"/>
      <w:marLeft w:val="0"/>
      <w:marRight w:val="0"/>
      <w:marTop w:val="0"/>
      <w:marBottom w:val="0"/>
      <w:divBdr>
        <w:top w:val="none" w:sz="0" w:space="0" w:color="auto"/>
        <w:left w:val="none" w:sz="0" w:space="0" w:color="auto"/>
        <w:bottom w:val="none" w:sz="0" w:space="0" w:color="auto"/>
        <w:right w:val="none" w:sz="0" w:space="0" w:color="auto"/>
      </w:divBdr>
    </w:div>
    <w:div w:id="1666125448">
      <w:bodyDiv w:val="1"/>
      <w:marLeft w:val="0"/>
      <w:marRight w:val="0"/>
      <w:marTop w:val="0"/>
      <w:marBottom w:val="0"/>
      <w:divBdr>
        <w:top w:val="none" w:sz="0" w:space="0" w:color="auto"/>
        <w:left w:val="none" w:sz="0" w:space="0" w:color="auto"/>
        <w:bottom w:val="none" w:sz="0" w:space="0" w:color="auto"/>
        <w:right w:val="none" w:sz="0" w:space="0" w:color="auto"/>
      </w:divBdr>
    </w:div>
    <w:div w:id="1749113203">
      <w:bodyDiv w:val="1"/>
      <w:marLeft w:val="0"/>
      <w:marRight w:val="0"/>
      <w:marTop w:val="0"/>
      <w:marBottom w:val="0"/>
      <w:divBdr>
        <w:top w:val="none" w:sz="0" w:space="0" w:color="auto"/>
        <w:left w:val="none" w:sz="0" w:space="0" w:color="auto"/>
        <w:bottom w:val="none" w:sz="0" w:space="0" w:color="auto"/>
        <w:right w:val="none" w:sz="0" w:space="0" w:color="auto"/>
      </w:divBdr>
    </w:div>
    <w:div w:id="1802839692">
      <w:bodyDiv w:val="1"/>
      <w:marLeft w:val="0"/>
      <w:marRight w:val="0"/>
      <w:marTop w:val="0"/>
      <w:marBottom w:val="0"/>
      <w:divBdr>
        <w:top w:val="none" w:sz="0" w:space="0" w:color="auto"/>
        <w:left w:val="none" w:sz="0" w:space="0" w:color="auto"/>
        <w:bottom w:val="none" w:sz="0" w:space="0" w:color="auto"/>
        <w:right w:val="none" w:sz="0" w:space="0" w:color="auto"/>
      </w:divBdr>
    </w:div>
    <w:div w:id="1804468794">
      <w:bodyDiv w:val="1"/>
      <w:marLeft w:val="0"/>
      <w:marRight w:val="0"/>
      <w:marTop w:val="0"/>
      <w:marBottom w:val="0"/>
      <w:divBdr>
        <w:top w:val="none" w:sz="0" w:space="0" w:color="auto"/>
        <w:left w:val="none" w:sz="0" w:space="0" w:color="auto"/>
        <w:bottom w:val="none" w:sz="0" w:space="0" w:color="auto"/>
        <w:right w:val="none" w:sz="0" w:space="0" w:color="auto"/>
      </w:divBdr>
    </w:div>
    <w:div w:id="1846482298">
      <w:bodyDiv w:val="1"/>
      <w:marLeft w:val="0"/>
      <w:marRight w:val="0"/>
      <w:marTop w:val="0"/>
      <w:marBottom w:val="0"/>
      <w:divBdr>
        <w:top w:val="none" w:sz="0" w:space="0" w:color="auto"/>
        <w:left w:val="none" w:sz="0" w:space="0" w:color="auto"/>
        <w:bottom w:val="none" w:sz="0" w:space="0" w:color="auto"/>
        <w:right w:val="none" w:sz="0" w:space="0" w:color="auto"/>
      </w:divBdr>
    </w:div>
    <w:div w:id="1852329811">
      <w:bodyDiv w:val="1"/>
      <w:marLeft w:val="0"/>
      <w:marRight w:val="0"/>
      <w:marTop w:val="0"/>
      <w:marBottom w:val="0"/>
      <w:divBdr>
        <w:top w:val="none" w:sz="0" w:space="0" w:color="auto"/>
        <w:left w:val="none" w:sz="0" w:space="0" w:color="auto"/>
        <w:bottom w:val="none" w:sz="0" w:space="0" w:color="auto"/>
        <w:right w:val="none" w:sz="0" w:space="0" w:color="auto"/>
      </w:divBdr>
      <w:divsChild>
        <w:div w:id="200851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963849">
              <w:marLeft w:val="0"/>
              <w:marRight w:val="0"/>
              <w:marTop w:val="0"/>
              <w:marBottom w:val="0"/>
              <w:divBdr>
                <w:top w:val="none" w:sz="0" w:space="0" w:color="auto"/>
                <w:left w:val="none" w:sz="0" w:space="0" w:color="auto"/>
                <w:bottom w:val="none" w:sz="0" w:space="0" w:color="auto"/>
                <w:right w:val="none" w:sz="0" w:space="0" w:color="auto"/>
              </w:divBdr>
              <w:divsChild>
                <w:div w:id="9995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5927">
      <w:bodyDiv w:val="1"/>
      <w:marLeft w:val="0"/>
      <w:marRight w:val="0"/>
      <w:marTop w:val="0"/>
      <w:marBottom w:val="0"/>
      <w:divBdr>
        <w:top w:val="none" w:sz="0" w:space="0" w:color="auto"/>
        <w:left w:val="none" w:sz="0" w:space="0" w:color="auto"/>
        <w:bottom w:val="none" w:sz="0" w:space="0" w:color="auto"/>
        <w:right w:val="none" w:sz="0" w:space="0" w:color="auto"/>
      </w:divBdr>
      <w:divsChild>
        <w:div w:id="771820589">
          <w:marLeft w:val="274"/>
          <w:marRight w:val="0"/>
          <w:marTop w:val="0"/>
          <w:marBottom w:val="0"/>
          <w:divBdr>
            <w:top w:val="none" w:sz="0" w:space="0" w:color="auto"/>
            <w:left w:val="none" w:sz="0" w:space="0" w:color="auto"/>
            <w:bottom w:val="none" w:sz="0" w:space="0" w:color="auto"/>
            <w:right w:val="none" w:sz="0" w:space="0" w:color="auto"/>
          </w:divBdr>
        </w:div>
        <w:div w:id="1768890256">
          <w:marLeft w:val="274"/>
          <w:marRight w:val="0"/>
          <w:marTop w:val="0"/>
          <w:marBottom w:val="0"/>
          <w:divBdr>
            <w:top w:val="none" w:sz="0" w:space="0" w:color="auto"/>
            <w:left w:val="none" w:sz="0" w:space="0" w:color="auto"/>
            <w:bottom w:val="none" w:sz="0" w:space="0" w:color="auto"/>
            <w:right w:val="none" w:sz="0" w:space="0" w:color="auto"/>
          </w:divBdr>
        </w:div>
        <w:div w:id="68617342">
          <w:marLeft w:val="274"/>
          <w:marRight w:val="0"/>
          <w:marTop w:val="0"/>
          <w:marBottom w:val="0"/>
          <w:divBdr>
            <w:top w:val="none" w:sz="0" w:space="0" w:color="auto"/>
            <w:left w:val="none" w:sz="0" w:space="0" w:color="auto"/>
            <w:bottom w:val="none" w:sz="0" w:space="0" w:color="auto"/>
            <w:right w:val="none" w:sz="0" w:space="0" w:color="auto"/>
          </w:divBdr>
        </w:div>
        <w:div w:id="1351495676">
          <w:marLeft w:val="274"/>
          <w:marRight w:val="0"/>
          <w:marTop w:val="0"/>
          <w:marBottom w:val="0"/>
          <w:divBdr>
            <w:top w:val="none" w:sz="0" w:space="0" w:color="auto"/>
            <w:left w:val="none" w:sz="0" w:space="0" w:color="auto"/>
            <w:bottom w:val="none" w:sz="0" w:space="0" w:color="auto"/>
            <w:right w:val="none" w:sz="0" w:space="0" w:color="auto"/>
          </w:divBdr>
        </w:div>
      </w:divsChild>
    </w:div>
    <w:div w:id="1903101885">
      <w:bodyDiv w:val="1"/>
      <w:marLeft w:val="0"/>
      <w:marRight w:val="0"/>
      <w:marTop w:val="0"/>
      <w:marBottom w:val="0"/>
      <w:divBdr>
        <w:top w:val="none" w:sz="0" w:space="0" w:color="auto"/>
        <w:left w:val="none" w:sz="0" w:space="0" w:color="auto"/>
        <w:bottom w:val="none" w:sz="0" w:space="0" w:color="auto"/>
        <w:right w:val="none" w:sz="0" w:space="0" w:color="auto"/>
      </w:divBdr>
      <w:divsChild>
        <w:div w:id="130944486">
          <w:marLeft w:val="360"/>
          <w:marRight w:val="0"/>
          <w:marTop w:val="0"/>
          <w:marBottom w:val="0"/>
          <w:divBdr>
            <w:top w:val="none" w:sz="0" w:space="0" w:color="auto"/>
            <w:left w:val="none" w:sz="0" w:space="0" w:color="auto"/>
            <w:bottom w:val="none" w:sz="0" w:space="0" w:color="auto"/>
            <w:right w:val="none" w:sz="0" w:space="0" w:color="auto"/>
          </w:divBdr>
        </w:div>
        <w:div w:id="566453297">
          <w:marLeft w:val="360"/>
          <w:marRight w:val="0"/>
          <w:marTop w:val="0"/>
          <w:marBottom w:val="0"/>
          <w:divBdr>
            <w:top w:val="none" w:sz="0" w:space="0" w:color="auto"/>
            <w:left w:val="none" w:sz="0" w:space="0" w:color="auto"/>
            <w:bottom w:val="none" w:sz="0" w:space="0" w:color="auto"/>
            <w:right w:val="none" w:sz="0" w:space="0" w:color="auto"/>
          </w:divBdr>
        </w:div>
        <w:div w:id="974212405">
          <w:marLeft w:val="360"/>
          <w:marRight w:val="0"/>
          <w:marTop w:val="0"/>
          <w:marBottom w:val="0"/>
          <w:divBdr>
            <w:top w:val="none" w:sz="0" w:space="0" w:color="auto"/>
            <w:left w:val="none" w:sz="0" w:space="0" w:color="auto"/>
            <w:bottom w:val="none" w:sz="0" w:space="0" w:color="auto"/>
            <w:right w:val="none" w:sz="0" w:space="0" w:color="auto"/>
          </w:divBdr>
        </w:div>
        <w:div w:id="1139617155">
          <w:marLeft w:val="360"/>
          <w:marRight w:val="0"/>
          <w:marTop w:val="0"/>
          <w:marBottom w:val="0"/>
          <w:divBdr>
            <w:top w:val="none" w:sz="0" w:space="0" w:color="auto"/>
            <w:left w:val="none" w:sz="0" w:space="0" w:color="auto"/>
            <w:bottom w:val="none" w:sz="0" w:space="0" w:color="auto"/>
            <w:right w:val="none" w:sz="0" w:space="0" w:color="auto"/>
          </w:divBdr>
        </w:div>
        <w:div w:id="1116555881">
          <w:marLeft w:val="360"/>
          <w:marRight w:val="0"/>
          <w:marTop w:val="0"/>
          <w:marBottom w:val="0"/>
          <w:divBdr>
            <w:top w:val="none" w:sz="0" w:space="0" w:color="auto"/>
            <w:left w:val="none" w:sz="0" w:space="0" w:color="auto"/>
            <w:bottom w:val="none" w:sz="0" w:space="0" w:color="auto"/>
            <w:right w:val="none" w:sz="0" w:space="0" w:color="auto"/>
          </w:divBdr>
        </w:div>
        <w:div w:id="1899051435">
          <w:marLeft w:val="360"/>
          <w:marRight w:val="0"/>
          <w:marTop w:val="0"/>
          <w:marBottom w:val="0"/>
          <w:divBdr>
            <w:top w:val="none" w:sz="0" w:space="0" w:color="auto"/>
            <w:left w:val="none" w:sz="0" w:space="0" w:color="auto"/>
            <w:bottom w:val="none" w:sz="0" w:space="0" w:color="auto"/>
            <w:right w:val="none" w:sz="0" w:space="0" w:color="auto"/>
          </w:divBdr>
        </w:div>
      </w:divsChild>
    </w:div>
    <w:div w:id="1923877060">
      <w:bodyDiv w:val="1"/>
      <w:marLeft w:val="0"/>
      <w:marRight w:val="0"/>
      <w:marTop w:val="0"/>
      <w:marBottom w:val="0"/>
      <w:divBdr>
        <w:top w:val="none" w:sz="0" w:space="0" w:color="auto"/>
        <w:left w:val="none" w:sz="0" w:space="0" w:color="auto"/>
        <w:bottom w:val="none" w:sz="0" w:space="0" w:color="auto"/>
        <w:right w:val="none" w:sz="0" w:space="0" w:color="auto"/>
      </w:divBdr>
      <w:divsChild>
        <w:div w:id="470369422">
          <w:marLeft w:val="0"/>
          <w:marRight w:val="0"/>
          <w:marTop w:val="0"/>
          <w:marBottom w:val="225"/>
          <w:divBdr>
            <w:top w:val="none" w:sz="0" w:space="0" w:color="auto"/>
            <w:left w:val="none" w:sz="0" w:space="0" w:color="auto"/>
            <w:bottom w:val="none" w:sz="0" w:space="0" w:color="auto"/>
            <w:right w:val="none" w:sz="0" w:space="0" w:color="auto"/>
          </w:divBdr>
        </w:div>
        <w:div w:id="659624187">
          <w:marLeft w:val="0"/>
          <w:marRight w:val="0"/>
          <w:marTop w:val="0"/>
          <w:marBottom w:val="225"/>
          <w:divBdr>
            <w:top w:val="none" w:sz="0" w:space="0" w:color="auto"/>
            <w:left w:val="none" w:sz="0" w:space="0" w:color="auto"/>
            <w:bottom w:val="none" w:sz="0" w:space="0" w:color="auto"/>
            <w:right w:val="none" w:sz="0" w:space="0" w:color="auto"/>
          </w:divBdr>
        </w:div>
        <w:div w:id="112754679">
          <w:marLeft w:val="0"/>
          <w:marRight w:val="0"/>
          <w:marTop w:val="0"/>
          <w:marBottom w:val="225"/>
          <w:divBdr>
            <w:top w:val="none" w:sz="0" w:space="0" w:color="auto"/>
            <w:left w:val="none" w:sz="0" w:space="0" w:color="auto"/>
            <w:bottom w:val="none" w:sz="0" w:space="0" w:color="auto"/>
            <w:right w:val="none" w:sz="0" w:space="0" w:color="auto"/>
          </w:divBdr>
        </w:div>
        <w:div w:id="1458329159">
          <w:marLeft w:val="0"/>
          <w:marRight w:val="0"/>
          <w:marTop w:val="0"/>
          <w:marBottom w:val="225"/>
          <w:divBdr>
            <w:top w:val="none" w:sz="0" w:space="0" w:color="auto"/>
            <w:left w:val="none" w:sz="0" w:space="0" w:color="auto"/>
            <w:bottom w:val="none" w:sz="0" w:space="0" w:color="auto"/>
            <w:right w:val="none" w:sz="0" w:space="0" w:color="auto"/>
          </w:divBdr>
        </w:div>
      </w:divsChild>
    </w:div>
    <w:div w:id="1945266246">
      <w:bodyDiv w:val="1"/>
      <w:marLeft w:val="0"/>
      <w:marRight w:val="0"/>
      <w:marTop w:val="0"/>
      <w:marBottom w:val="0"/>
      <w:divBdr>
        <w:top w:val="none" w:sz="0" w:space="0" w:color="auto"/>
        <w:left w:val="none" w:sz="0" w:space="0" w:color="auto"/>
        <w:bottom w:val="none" w:sz="0" w:space="0" w:color="auto"/>
        <w:right w:val="none" w:sz="0" w:space="0" w:color="auto"/>
      </w:divBdr>
    </w:div>
    <w:div w:id="1971089729">
      <w:bodyDiv w:val="1"/>
      <w:marLeft w:val="0"/>
      <w:marRight w:val="0"/>
      <w:marTop w:val="0"/>
      <w:marBottom w:val="0"/>
      <w:divBdr>
        <w:top w:val="none" w:sz="0" w:space="0" w:color="auto"/>
        <w:left w:val="none" w:sz="0" w:space="0" w:color="auto"/>
        <w:bottom w:val="none" w:sz="0" w:space="0" w:color="auto"/>
        <w:right w:val="none" w:sz="0" w:space="0" w:color="auto"/>
      </w:divBdr>
      <w:divsChild>
        <w:div w:id="1331789604">
          <w:marLeft w:val="0"/>
          <w:marRight w:val="0"/>
          <w:marTop w:val="0"/>
          <w:marBottom w:val="0"/>
          <w:divBdr>
            <w:top w:val="none" w:sz="0" w:space="0" w:color="auto"/>
            <w:left w:val="none" w:sz="0" w:space="0" w:color="auto"/>
            <w:bottom w:val="none" w:sz="0" w:space="0" w:color="auto"/>
            <w:right w:val="none" w:sz="0" w:space="0" w:color="auto"/>
          </w:divBdr>
        </w:div>
        <w:div w:id="1169296300">
          <w:marLeft w:val="0"/>
          <w:marRight w:val="0"/>
          <w:marTop w:val="0"/>
          <w:marBottom w:val="0"/>
          <w:divBdr>
            <w:top w:val="none" w:sz="0" w:space="0" w:color="auto"/>
            <w:left w:val="none" w:sz="0" w:space="0" w:color="auto"/>
            <w:bottom w:val="none" w:sz="0" w:space="0" w:color="auto"/>
            <w:right w:val="none" w:sz="0" w:space="0" w:color="auto"/>
          </w:divBdr>
        </w:div>
        <w:div w:id="1611819028">
          <w:marLeft w:val="0"/>
          <w:marRight w:val="0"/>
          <w:marTop w:val="0"/>
          <w:marBottom w:val="0"/>
          <w:divBdr>
            <w:top w:val="none" w:sz="0" w:space="0" w:color="auto"/>
            <w:left w:val="none" w:sz="0" w:space="0" w:color="auto"/>
            <w:bottom w:val="none" w:sz="0" w:space="0" w:color="auto"/>
            <w:right w:val="none" w:sz="0" w:space="0" w:color="auto"/>
          </w:divBdr>
        </w:div>
      </w:divsChild>
    </w:div>
    <w:div w:id="1982494891">
      <w:bodyDiv w:val="1"/>
      <w:marLeft w:val="0"/>
      <w:marRight w:val="0"/>
      <w:marTop w:val="0"/>
      <w:marBottom w:val="0"/>
      <w:divBdr>
        <w:top w:val="none" w:sz="0" w:space="0" w:color="auto"/>
        <w:left w:val="none" w:sz="0" w:space="0" w:color="auto"/>
        <w:bottom w:val="none" w:sz="0" w:space="0" w:color="auto"/>
        <w:right w:val="none" w:sz="0" w:space="0" w:color="auto"/>
      </w:divBdr>
    </w:div>
    <w:div w:id="21371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med.ncbi.nlm.nih.gov/?term=Vansteelandt+S&amp;cauthor_id=3681818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term=VanderWeele+TJ&amp;cauthor_id=36818188" TargetMode="External"/><Relationship Id="rId17" Type="http://schemas.openxmlformats.org/officeDocument/2006/relationships/hyperlink" Target="http://dx.doi.org/10.3127/ajis.v20i0.1262" TargetMode="External"/><Relationship Id="rId2" Type="http://schemas.openxmlformats.org/officeDocument/2006/relationships/numbering" Target="numbering.xml"/><Relationship Id="rId16" Type="http://schemas.openxmlformats.org/officeDocument/2006/relationships/hyperlink" Target="http://uniteachingcriteri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rest.com/PC/FGB/glossary.htm" TargetMode="External"/><Relationship Id="rId5" Type="http://schemas.openxmlformats.org/officeDocument/2006/relationships/webSettings" Target="webSettings.xml"/><Relationship Id="rId15" Type="http://schemas.openxmlformats.org/officeDocument/2006/relationships/hyperlink" Target="https://doi.org/10.1111/rssb.12555" TargetMode="External"/><Relationship Id="rId10" Type="http://schemas.openxmlformats.org/officeDocument/2006/relationships/hyperlink" Target="http://www.pcrest.com/PC/FGB/glossary.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au/s/ref=dp_byline_sr_ebooks_1?ie=UTF8&amp;text=Ernest+L.+Boyer&amp;search-alias=digital-text&amp;field-author=Ernest+L.+Boyer&amp;sort=relevancerank" TargetMode="External"/><Relationship Id="rId14" Type="http://schemas.openxmlformats.org/officeDocument/2006/relationships/hyperlink" Target="https://www.timeshighereducation.com/blog/overpraise-everywhere-and-universities-are-not-immun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dx.doi.org/10.3127/ajis.v20i0.1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DC58-CCA7-4984-B077-91B0C44B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Shannon</dc:creator>
  <cp:keywords/>
  <dc:description/>
  <cp:lastModifiedBy>Dominic McLoughlin</cp:lastModifiedBy>
  <cp:revision>13</cp:revision>
  <cp:lastPrinted>2022-05-23T02:17:00Z</cp:lastPrinted>
  <dcterms:created xsi:type="dcterms:W3CDTF">2023-12-03T00:20:00Z</dcterms:created>
  <dcterms:modified xsi:type="dcterms:W3CDTF">2023-12-03T01:15:00Z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id="x19fS3hj"/&gt;&lt;style id="http://www.zotero.org/styles/apa" locale="en-AU" hasBibliography="1" bibliographyStyleHasBeenSet="1"/&gt;&lt;prefs&gt;&lt;pref name="fieldType" value="Field"/&gt;&lt;/prefs&gt;&lt;/data&gt;</vt:lpwstr>
  </property>
</Properties>
</file>